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F056A" w14:textId="77777777" w:rsidR="00635040" w:rsidRDefault="00635040" w:rsidP="00533391">
      <w:pPr>
        <w:pStyle w:val="EPMFHEADER"/>
        <w:ind w:left="0"/>
        <w:rPr>
          <w:sz w:val="48"/>
          <w:lang w:val="en-GB"/>
        </w:rPr>
      </w:pPr>
      <w:bookmarkStart w:id="0" w:name="_Hlk491265044"/>
      <w:r>
        <w:rPr>
          <w:sz w:val="48"/>
          <w:lang w:val="en-GB"/>
        </w:rPr>
        <w:t xml:space="preserve">Silver </w:t>
      </w:r>
      <w:r w:rsidR="00285DA5">
        <w:rPr>
          <w:sz w:val="48"/>
          <w:lang w:val="en-GB"/>
        </w:rPr>
        <w:t>C</w:t>
      </w:r>
      <w:r w:rsidR="00AD5C3C">
        <w:rPr>
          <w:sz w:val="48"/>
          <w:lang w:val="en-GB"/>
        </w:rPr>
        <w:t xml:space="preserve">lassification &amp; </w:t>
      </w:r>
      <w:r w:rsidR="00285DA5">
        <w:rPr>
          <w:sz w:val="48"/>
          <w:lang w:val="en-GB"/>
        </w:rPr>
        <w:t>L</w:t>
      </w:r>
      <w:r w:rsidR="00AD5C3C">
        <w:rPr>
          <w:sz w:val="48"/>
          <w:lang w:val="en-GB"/>
        </w:rPr>
        <w:t xml:space="preserve">abelling </w:t>
      </w:r>
      <w:r w:rsidR="00285DA5">
        <w:rPr>
          <w:sz w:val="48"/>
          <w:lang w:val="en-GB"/>
        </w:rPr>
        <w:t>H</w:t>
      </w:r>
      <w:r w:rsidR="00AD5C3C">
        <w:rPr>
          <w:sz w:val="48"/>
          <w:lang w:val="en-GB"/>
        </w:rPr>
        <w:t>armonization (CLH)</w:t>
      </w:r>
      <w:r w:rsidR="00285DA5">
        <w:rPr>
          <w:sz w:val="48"/>
          <w:lang w:val="en-GB"/>
        </w:rPr>
        <w:t xml:space="preserve"> proposal – </w:t>
      </w:r>
      <w:r w:rsidR="00AD5C3C">
        <w:rPr>
          <w:sz w:val="48"/>
          <w:lang w:val="en-GB"/>
        </w:rPr>
        <w:t>Q&amp;A</w:t>
      </w:r>
      <w:r w:rsidR="00285DA5">
        <w:rPr>
          <w:sz w:val="48"/>
          <w:lang w:val="en-GB"/>
        </w:rPr>
        <w:t xml:space="preserve"> </w:t>
      </w:r>
    </w:p>
    <w:p w14:paraId="134F71DA" w14:textId="77777777" w:rsidR="00AD5C3C" w:rsidRDefault="00AD5C3C" w:rsidP="00FC0FE9">
      <w:pPr>
        <w:pStyle w:val="EPMFHEADER"/>
        <w:ind w:left="0"/>
        <w:jc w:val="both"/>
        <w:rPr>
          <w:sz w:val="48"/>
          <w:lang w:val="en-GB"/>
        </w:rPr>
      </w:pPr>
    </w:p>
    <w:p w14:paraId="69CF7077" w14:textId="77777777" w:rsidR="00AD5C3C" w:rsidRDefault="00AD5C3C" w:rsidP="004C18C5">
      <w:pPr>
        <w:pStyle w:val="EPMFSubTitleSmall"/>
        <w:jc w:val="both"/>
        <w:rPr>
          <w:lang w:val="en-GB"/>
        </w:rPr>
      </w:pPr>
      <w:r>
        <w:rPr>
          <w:lang w:val="en-GB"/>
        </w:rPr>
        <w:t xml:space="preserve">Which substances </w:t>
      </w:r>
      <w:r w:rsidR="008D55D5">
        <w:rPr>
          <w:lang w:val="en-GB"/>
        </w:rPr>
        <w:t xml:space="preserve">will be </w:t>
      </w:r>
      <w:r>
        <w:rPr>
          <w:lang w:val="en-GB"/>
        </w:rPr>
        <w:t xml:space="preserve">impacted by the </w:t>
      </w:r>
      <w:r w:rsidR="008D55D5">
        <w:rPr>
          <w:lang w:val="en-GB"/>
        </w:rPr>
        <w:t xml:space="preserve">silver CLH proposal </w:t>
      </w:r>
      <w:r>
        <w:rPr>
          <w:lang w:val="en-GB"/>
        </w:rPr>
        <w:t xml:space="preserve">submitted by Sweden on </w:t>
      </w:r>
      <w:r w:rsidRPr="002153E2">
        <w:rPr>
          <w:highlight w:val="yellow"/>
          <w:lang w:val="en-GB"/>
        </w:rPr>
        <w:t>(DATE TO BE ADDED)</w:t>
      </w:r>
      <w:r>
        <w:rPr>
          <w:lang w:val="en-GB"/>
        </w:rPr>
        <w:t xml:space="preserve">? </w:t>
      </w:r>
    </w:p>
    <w:p w14:paraId="561A6EE1" w14:textId="2E64D4B5" w:rsidR="007B0CAB" w:rsidRDefault="008D55D5" w:rsidP="006F0313">
      <w:pPr>
        <w:jc w:val="both"/>
        <w:rPr>
          <w:lang w:val="en-GB"/>
        </w:rPr>
      </w:pPr>
      <w:r>
        <w:rPr>
          <w:lang w:val="en-GB"/>
        </w:rPr>
        <w:t>Within</w:t>
      </w:r>
      <w:r w:rsidR="006F0313">
        <w:rPr>
          <w:lang w:val="en-GB"/>
        </w:rPr>
        <w:t xml:space="preserve"> the </w:t>
      </w:r>
      <w:r>
        <w:rPr>
          <w:lang w:val="en-GB"/>
        </w:rPr>
        <w:t xml:space="preserve">context of the Biocidal Products Regulation </w:t>
      </w:r>
      <w:r w:rsidR="006F0313">
        <w:rPr>
          <w:lang w:val="en-GB"/>
        </w:rPr>
        <w:t>(</w:t>
      </w:r>
      <w:r>
        <w:rPr>
          <w:lang w:val="en-GB"/>
        </w:rPr>
        <w:t>BPR</w:t>
      </w:r>
      <w:r w:rsidR="006F0313">
        <w:rPr>
          <w:lang w:val="en-GB"/>
        </w:rPr>
        <w:t>)</w:t>
      </w:r>
      <w:r>
        <w:rPr>
          <w:lang w:val="en-GB"/>
        </w:rPr>
        <w:t>,</w:t>
      </w:r>
      <w:r w:rsidR="006F0313">
        <w:rPr>
          <w:lang w:val="en-GB"/>
        </w:rPr>
        <w:t xml:space="preserve"> Sweden has already submitted a similar proposal on silver nitrate and </w:t>
      </w:r>
      <w:r w:rsidR="00F2562F">
        <w:rPr>
          <w:lang w:val="en-GB"/>
        </w:rPr>
        <w:t xml:space="preserve">it </w:t>
      </w:r>
      <w:r w:rsidR="006F0313">
        <w:rPr>
          <w:lang w:val="en-GB"/>
        </w:rPr>
        <w:t>is</w:t>
      </w:r>
      <w:bookmarkStart w:id="1" w:name="_GoBack"/>
      <w:bookmarkEnd w:id="1"/>
      <w:r w:rsidR="006F0313">
        <w:rPr>
          <w:lang w:val="en-GB"/>
        </w:rPr>
        <w:t xml:space="preserve"> expected </w:t>
      </w:r>
      <w:r w:rsidR="00F2562F">
        <w:rPr>
          <w:lang w:val="en-GB"/>
        </w:rPr>
        <w:t xml:space="preserve">they will </w:t>
      </w:r>
      <w:r w:rsidR="006F0313">
        <w:rPr>
          <w:lang w:val="en-GB"/>
        </w:rPr>
        <w:t xml:space="preserve">do the same on silver chloride. </w:t>
      </w:r>
      <w:r>
        <w:rPr>
          <w:lang w:val="en-GB"/>
        </w:rPr>
        <w:t xml:space="preserve">There will be an impact on silver and all silver compounds </w:t>
      </w:r>
      <w:r w:rsidR="006F0313">
        <w:rPr>
          <w:lang w:val="en-GB"/>
        </w:rPr>
        <w:t xml:space="preserve">due to the </w:t>
      </w:r>
      <w:r w:rsidR="00F27B21">
        <w:rPr>
          <w:lang w:val="en-GB"/>
        </w:rPr>
        <w:t xml:space="preserve">current </w:t>
      </w:r>
      <w:r w:rsidR="006F0313">
        <w:rPr>
          <w:lang w:val="en-GB"/>
        </w:rPr>
        <w:t xml:space="preserve">read-across approach followed in the REACH registration </w:t>
      </w:r>
      <w:r w:rsidR="006E3D8F">
        <w:rPr>
          <w:lang w:val="en-GB"/>
        </w:rPr>
        <w:t>dossiers</w:t>
      </w:r>
      <w:r>
        <w:rPr>
          <w:lang w:val="en-GB"/>
        </w:rPr>
        <w:t>.</w:t>
      </w:r>
      <w:r w:rsidR="006F0313">
        <w:rPr>
          <w:lang w:val="en-GB"/>
        </w:rPr>
        <w:t xml:space="preserve"> </w:t>
      </w:r>
    </w:p>
    <w:p w14:paraId="4F1C8BEC" w14:textId="77777777" w:rsidR="00AD5C3C" w:rsidRDefault="00AD5C3C" w:rsidP="004C18C5">
      <w:pPr>
        <w:pStyle w:val="EPMFSubTitleSmall"/>
        <w:jc w:val="both"/>
        <w:rPr>
          <w:lang w:val="en-GB"/>
        </w:rPr>
      </w:pPr>
      <w:r>
        <w:rPr>
          <w:lang w:val="en-GB"/>
        </w:rPr>
        <w:t xml:space="preserve">Does EPMF support the </w:t>
      </w:r>
      <w:r w:rsidR="00F55661">
        <w:rPr>
          <w:lang w:val="en-GB"/>
        </w:rPr>
        <w:t xml:space="preserve">silver </w:t>
      </w:r>
      <w:r>
        <w:rPr>
          <w:lang w:val="en-GB"/>
        </w:rPr>
        <w:t xml:space="preserve">CLH proposal made by </w:t>
      </w:r>
      <w:r w:rsidR="004C18C5">
        <w:rPr>
          <w:lang w:val="en-GB"/>
        </w:rPr>
        <w:t>Sweden</w:t>
      </w:r>
      <w:r>
        <w:rPr>
          <w:lang w:val="en-GB"/>
        </w:rPr>
        <w:t>?</w:t>
      </w:r>
    </w:p>
    <w:p w14:paraId="1530C2F1" w14:textId="77777777" w:rsidR="007B0CAB" w:rsidRDefault="006F0313" w:rsidP="007B0CAB">
      <w:pPr>
        <w:rPr>
          <w:lang w:val="en-GB"/>
        </w:rPr>
      </w:pPr>
      <w:r>
        <w:rPr>
          <w:lang w:val="en-GB"/>
        </w:rPr>
        <w:t>EPMF does not support the CLH proposal made by Sweden. EPMF disagrees with the following classification proposals:</w:t>
      </w:r>
    </w:p>
    <w:p w14:paraId="0AB341BD" w14:textId="77777777" w:rsidR="006F0313" w:rsidRDefault="006F0313" w:rsidP="006F0313">
      <w:pPr>
        <w:pStyle w:val="ListParagraph"/>
        <w:numPr>
          <w:ilvl w:val="0"/>
          <w:numId w:val="10"/>
        </w:numPr>
        <w:rPr>
          <w:lang w:val="en-GB"/>
        </w:rPr>
      </w:pPr>
      <w:r w:rsidRPr="00421027">
        <w:rPr>
          <w:lang w:val="en-GB"/>
        </w:rPr>
        <w:t>TO BE ADDED</w:t>
      </w:r>
      <w:r w:rsidR="00F55661">
        <w:rPr>
          <w:lang w:val="en-GB"/>
        </w:rPr>
        <w:t xml:space="preserve"> when available</w:t>
      </w:r>
    </w:p>
    <w:p w14:paraId="19EDAD41" w14:textId="77777777" w:rsidR="000417BC" w:rsidRPr="00F55661" w:rsidRDefault="00263D14" w:rsidP="00F55661">
      <w:pPr>
        <w:pStyle w:val="ListParagraph"/>
        <w:numPr>
          <w:ilvl w:val="0"/>
          <w:numId w:val="10"/>
        </w:numPr>
        <w:rPr>
          <w:lang w:val="en-US"/>
        </w:rPr>
      </w:pPr>
      <w:r w:rsidRPr="00F55661">
        <w:rPr>
          <w:lang w:val="en-US"/>
        </w:rPr>
        <w:t>Repr</w:t>
      </w:r>
      <w:r w:rsidR="00EC483B">
        <w:rPr>
          <w:lang w:val="en-US"/>
        </w:rPr>
        <w:t>otoxic</w:t>
      </w:r>
      <w:r w:rsidRPr="00F55661">
        <w:rPr>
          <w:lang w:val="en-US"/>
        </w:rPr>
        <w:t xml:space="preserve"> </w:t>
      </w:r>
      <w:r w:rsidR="00EC483B">
        <w:rPr>
          <w:lang w:val="en-US"/>
        </w:rPr>
        <w:t xml:space="preserve">cat </w:t>
      </w:r>
      <w:r w:rsidRPr="00F55661">
        <w:rPr>
          <w:lang w:val="en-US"/>
        </w:rPr>
        <w:t>1B</w:t>
      </w:r>
    </w:p>
    <w:p w14:paraId="4E1C55ED" w14:textId="0DE71AD1" w:rsidR="005B45D1" w:rsidRPr="00A234A2" w:rsidRDefault="005B45D1" w:rsidP="00A234A2">
      <w:pPr>
        <w:pStyle w:val="ListParagraph"/>
        <w:numPr>
          <w:ilvl w:val="1"/>
          <w:numId w:val="10"/>
        </w:numPr>
        <w:jc w:val="both"/>
        <w:rPr>
          <w:lang w:val="en-US"/>
        </w:rPr>
      </w:pPr>
      <w:r>
        <w:rPr>
          <w:lang w:val="en-US"/>
        </w:rPr>
        <w:t>F</w:t>
      </w:r>
      <w:r w:rsidR="00263D14" w:rsidRPr="00F55661">
        <w:rPr>
          <w:lang w:val="en-US"/>
        </w:rPr>
        <w:t>ertility</w:t>
      </w:r>
      <w:r w:rsidR="00BE735C">
        <w:rPr>
          <w:lang w:val="en-US"/>
        </w:rPr>
        <w:t xml:space="preserve">: </w:t>
      </w:r>
      <w:r>
        <w:rPr>
          <w:lang w:val="en-US"/>
        </w:rPr>
        <w:t xml:space="preserve">EPMF believes </w:t>
      </w:r>
      <w:r w:rsidR="008D55D5">
        <w:rPr>
          <w:lang w:val="en-US"/>
        </w:rPr>
        <w:t>that there is insufficient data</w:t>
      </w:r>
      <w:r>
        <w:rPr>
          <w:lang w:val="en-US"/>
        </w:rPr>
        <w:t xml:space="preserve"> on fertility </w:t>
      </w:r>
      <w:r w:rsidR="00C51160">
        <w:rPr>
          <w:lang w:val="en-US"/>
        </w:rPr>
        <w:t xml:space="preserve">effects </w:t>
      </w:r>
      <w:r>
        <w:rPr>
          <w:lang w:val="en-US"/>
        </w:rPr>
        <w:t>of silver / silver substances for classification of the silver ion as R</w:t>
      </w:r>
      <w:r w:rsidR="0076310D" w:rsidRPr="001C09C8">
        <w:rPr>
          <w:lang w:val="en-GB"/>
        </w:rPr>
        <w:t>eprotoxic</w:t>
      </w:r>
      <w:r w:rsidR="0076310D">
        <w:rPr>
          <w:lang w:val="en-US"/>
        </w:rPr>
        <w:t xml:space="preserve"> </w:t>
      </w:r>
      <w:r>
        <w:rPr>
          <w:lang w:val="en-US"/>
        </w:rPr>
        <w:t xml:space="preserve">1B, H360F. </w:t>
      </w:r>
      <w:r w:rsidR="00B9782C">
        <w:rPr>
          <w:lang w:val="en-US"/>
        </w:rPr>
        <w:t>One</w:t>
      </w:r>
      <w:r w:rsidR="00421027">
        <w:rPr>
          <w:lang w:val="en-US"/>
        </w:rPr>
        <w:t xml:space="preserve"> </w:t>
      </w:r>
      <w:r w:rsidR="00C51160">
        <w:rPr>
          <w:lang w:val="en-US"/>
        </w:rPr>
        <w:t>published</w:t>
      </w:r>
      <w:r w:rsidR="00C51160" w:rsidRPr="00C51160">
        <w:rPr>
          <w:lang w:val="en-US"/>
        </w:rPr>
        <w:t xml:space="preserve"> one-generation study </w:t>
      </w:r>
      <w:r w:rsidR="00421027">
        <w:rPr>
          <w:lang w:val="en-US"/>
        </w:rPr>
        <w:t>o</w:t>
      </w:r>
      <w:r w:rsidR="00C51160" w:rsidRPr="00C51160">
        <w:rPr>
          <w:lang w:val="en-US"/>
        </w:rPr>
        <w:t>n rodents provided limited evidence for effects on fertility following treatment with</w:t>
      </w:r>
      <w:r w:rsidR="00C51160">
        <w:rPr>
          <w:lang w:val="en-US"/>
        </w:rPr>
        <w:t xml:space="preserve"> silver acetate</w:t>
      </w:r>
      <w:r w:rsidR="00577F35">
        <w:rPr>
          <w:lang w:val="en-US"/>
        </w:rPr>
        <w:t>. However,</w:t>
      </w:r>
      <w:r>
        <w:rPr>
          <w:lang w:val="en-US"/>
        </w:rPr>
        <w:t xml:space="preserve"> it is unclear whether the observed antifertility effect is </w:t>
      </w:r>
      <w:r w:rsidRPr="00A234A2">
        <w:rPr>
          <w:lang w:val="en-US"/>
        </w:rPr>
        <w:t>due to effects on parent animals</w:t>
      </w:r>
      <w:r w:rsidR="00BA4F55" w:rsidRPr="00A234A2">
        <w:rPr>
          <w:lang w:val="en-US"/>
        </w:rPr>
        <w:t>,</w:t>
      </w:r>
      <w:r w:rsidRPr="00A234A2">
        <w:rPr>
          <w:lang w:val="en-US"/>
        </w:rPr>
        <w:t xml:space="preserve"> and</w:t>
      </w:r>
      <w:r w:rsidR="00577F35" w:rsidRPr="00A234A2">
        <w:rPr>
          <w:lang w:val="en-US"/>
        </w:rPr>
        <w:t xml:space="preserve"> </w:t>
      </w:r>
      <w:r w:rsidRPr="00A234A2">
        <w:rPr>
          <w:lang w:val="en-US"/>
        </w:rPr>
        <w:t xml:space="preserve">detailed investigations comparable to those in an </w:t>
      </w:r>
      <w:r w:rsidR="008D55D5" w:rsidRPr="00A234A2">
        <w:rPr>
          <w:lang w:val="en-GB"/>
        </w:rPr>
        <w:t>Extended One Generation Reproductive Toxicity Study (</w:t>
      </w:r>
      <w:r w:rsidRPr="00A234A2">
        <w:rPr>
          <w:lang w:val="en-US"/>
        </w:rPr>
        <w:t>EOGRTS</w:t>
      </w:r>
      <w:r w:rsidR="008D55D5" w:rsidRPr="00A234A2">
        <w:rPr>
          <w:lang w:val="en-US"/>
        </w:rPr>
        <w:t>)</w:t>
      </w:r>
      <w:r w:rsidRPr="00A234A2">
        <w:rPr>
          <w:lang w:val="en-US"/>
        </w:rPr>
        <w:t xml:space="preserve"> were not conducted. </w:t>
      </w:r>
      <w:r w:rsidR="00421027" w:rsidRPr="00A234A2">
        <w:rPr>
          <w:lang w:val="en-US"/>
        </w:rPr>
        <w:t>There were n</w:t>
      </w:r>
      <w:r w:rsidRPr="00A234A2">
        <w:rPr>
          <w:lang w:val="en-US"/>
        </w:rPr>
        <w:t>o clear effects on fertility observed in other studies with silver</w:t>
      </w:r>
      <w:r w:rsidR="003F5526" w:rsidRPr="00A234A2">
        <w:rPr>
          <w:lang w:val="en-US"/>
        </w:rPr>
        <w:t>-</w:t>
      </w:r>
      <w:r w:rsidRPr="00A234A2">
        <w:rPr>
          <w:lang w:val="en-US"/>
        </w:rPr>
        <w:t>containing active substances (SCAS) and nanosilver.</w:t>
      </w:r>
    </w:p>
    <w:p w14:paraId="30195198" w14:textId="7357C6C0" w:rsidR="000417BC" w:rsidRPr="00A234A2" w:rsidRDefault="00C51160" w:rsidP="00A234A2">
      <w:pPr>
        <w:pStyle w:val="ListParagraph"/>
        <w:numPr>
          <w:ilvl w:val="1"/>
          <w:numId w:val="10"/>
        </w:numPr>
        <w:jc w:val="both"/>
        <w:rPr>
          <w:lang w:val="en-US"/>
        </w:rPr>
      </w:pPr>
      <w:r w:rsidRPr="00A234A2">
        <w:rPr>
          <w:lang w:val="en-US"/>
        </w:rPr>
        <w:t>D</w:t>
      </w:r>
      <w:r w:rsidR="00263D14" w:rsidRPr="00A234A2">
        <w:rPr>
          <w:lang w:val="en-US"/>
        </w:rPr>
        <w:t>evelopment</w:t>
      </w:r>
      <w:r w:rsidR="00F30C31" w:rsidRPr="00A234A2">
        <w:rPr>
          <w:lang w:val="en-US"/>
        </w:rPr>
        <w:t xml:space="preserve">: </w:t>
      </w:r>
      <w:r w:rsidRPr="00A234A2">
        <w:rPr>
          <w:lang w:val="en-US"/>
        </w:rPr>
        <w:t xml:space="preserve">EPMF believes current evidence on developmental effects of silver / silver substances is insufficient for classification of the silver ion as </w:t>
      </w:r>
      <w:r w:rsidR="0076310D" w:rsidRPr="00A234A2">
        <w:rPr>
          <w:lang w:val="en-US"/>
        </w:rPr>
        <w:t>R</w:t>
      </w:r>
      <w:r w:rsidR="0076310D" w:rsidRPr="00A234A2">
        <w:rPr>
          <w:lang w:val="en-GB"/>
        </w:rPr>
        <w:t>eprotoxic</w:t>
      </w:r>
      <w:r w:rsidR="0076310D" w:rsidRPr="00A234A2">
        <w:rPr>
          <w:lang w:val="en-US"/>
        </w:rPr>
        <w:t xml:space="preserve"> 1B</w:t>
      </w:r>
      <w:r w:rsidRPr="00A234A2">
        <w:rPr>
          <w:lang w:val="en-US"/>
        </w:rPr>
        <w:t>, H360D. S</w:t>
      </w:r>
      <w:r w:rsidR="00B9782C" w:rsidRPr="00A234A2">
        <w:rPr>
          <w:lang w:val="en-US"/>
        </w:rPr>
        <w:t>everal s</w:t>
      </w:r>
      <w:r w:rsidRPr="00A234A2">
        <w:rPr>
          <w:lang w:val="en-US"/>
        </w:rPr>
        <w:t>tudies are available</w:t>
      </w:r>
      <w:r w:rsidR="00B64BD1" w:rsidRPr="00A234A2">
        <w:rPr>
          <w:lang w:val="en-US"/>
        </w:rPr>
        <w:t xml:space="preserve"> on silver chloride, silver acetate, nanosilver</w:t>
      </w:r>
      <w:r w:rsidR="00421027" w:rsidRPr="00A234A2">
        <w:rPr>
          <w:lang w:val="en-US"/>
        </w:rPr>
        <w:t>,</w:t>
      </w:r>
      <w:r w:rsidR="00B64BD1" w:rsidRPr="00A234A2">
        <w:rPr>
          <w:lang w:val="en-US"/>
        </w:rPr>
        <w:t xml:space="preserve"> and </w:t>
      </w:r>
      <w:r w:rsidRPr="00A234A2">
        <w:rPr>
          <w:lang w:val="en-US"/>
        </w:rPr>
        <w:t>silver</w:t>
      </w:r>
      <w:r w:rsidR="00421027" w:rsidRPr="00A234A2">
        <w:rPr>
          <w:lang w:val="en-US"/>
        </w:rPr>
        <w:t>-</w:t>
      </w:r>
      <w:r w:rsidRPr="00A234A2">
        <w:rPr>
          <w:lang w:val="en-US"/>
        </w:rPr>
        <w:t xml:space="preserve">containing active substances (SCAS) </w:t>
      </w:r>
      <w:r w:rsidR="00B9782C" w:rsidRPr="00A234A2">
        <w:rPr>
          <w:lang w:val="en-US"/>
        </w:rPr>
        <w:t>with some suggesting</w:t>
      </w:r>
      <w:r w:rsidRPr="00A234A2">
        <w:rPr>
          <w:lang w:val="en-US"/>
        </w:rPr>
        <w:t xml:space="preserve"> pre- and</w:t>
      </w:r>
      <w:r w:rsidR="00374EBE" w:rsidRPr="00A234A2">
        <w:rPr>
          <w:lang w:val="en-US"/>
        </w:rPr>
        <w:t>/or</w:t>
      </w:r>
      <w:r w:rsidRPr="00A234A2">
        <w:rPr>
          <w:lang w:val="en-US"/>
        </w:rPr>
        <w:t xml:space="preserve"> post-natal effects on development</w:t>
      </w:r>
      <w:r w:rsidR="00421027" w:rsidRPr="00A234A2">
        <w:rPr>
          <w:lang w:val="en-US"/>
        </w:rPr>
        <w:t xml:space="preserve"> of rodents</w:t>
      </w:r>
      <w:r w:rsidR="00B64BD1" w:rsidRPr="00A234A2">
        <w:rPr>
          <w:lang w:val="en-US"/>
        </w:rPr>
        <w:t xml:space="preserve">. </w:t>
      </w:r>
      <w:r w:rsidRPr="00A234A2">
        <w:rPr>
          <w:lang w:val="en-US"/>
        </w:rPr>
        <w:t>However, EPMF’s detailed assessment of th</w:t>
      </w:r>
      <w:r w:rsidR="00421027" w:rsidRPr="00A234A2">
        <w:rPr>
          <w:lang w:val="en-US"/>
        </w:rPr>
        <w:t>e</w:t>
      </w:r>
      <w:r w:rsidRPr="00A234A2">
        <w:rPr>
          <w:lang w:val="en-US"/>
        </w:rPr>
        <w:t xml:space="preserve"> data shows</w:t>
      </w:r>
      <w:r w:rsidR="00B64BD1" w:rsidRPr="00A234A2">
        <w:rPr>
          <w:lang w:val="en-US"/>
        </w:rPr>
        <w:t xml:space="preserve"> that 1) </w:t>
      </w:r>
      <w:r w:rsidR="00421027" w:rsidRPr="00A234A2">
        <w:rPr>
          <w:lang w:val="en-US"/>
        </w:rPr>
        <w:t xml:space="preserve">there are several experimental design deficiencies in these studies and an EOGRTS would </w:t>
      </w:r>
      <w:r w:rsidR="00374EBE" w:rsidRPr="00A234A2">
        <w:rPr>
          <w:lang w:val="en-US"/>
        </w:rPr>
        <w:t xml:space="preserve">provide superior information and </w:t>
      </w:r>
      <w:r w:rsidR="00421027" w:rsidRPr="00A234A2">
        <w:rPr>
          <w:lang w:val="en-US"/>
        </w:rPr>
        <w:t xml:space="preserve">help us fill the current </w:t>
      </w:r>
      <w:r w:rsidR="00374EBE" w:rsidRPr="00A234A2">
        <w:rPr>
          <w:lang w:val="en-US"/>
        </w:rPr>
        <w:t xml:space="preserve">remaining </w:t>
      </w:r>
      <w:r w:rsidR="00421027" w:rsidRPr="00A234A2">
        <w:rPr>
          <w:lang w:val="en-US"/>
        </w:rPr>
        <w:t>data gap</w:t>
      </w:r>
      <w:r w:rsidR="00374EBE" w:rsidRPr="00A234A2">
        <w:rPr>
          <w:lang w:val="en-US"/>
        </w:rPr>
        <w:t>s</w:t>
      </w:r>
      <w:r w:rsidR="00421027" w:rsidRPr="00A234A2">
        <w:rPr>
          <w:lang w:val="en-US"/>
        </w:rPr>
        <w:t xml:space="preserve">; </w:t>
      </w:r>
      <w:r w:rsidR="00B64BD1" w:rsidRPr="00A234A2">
        <w:rPr>
          <w:lang w:val="en-US"/>
        </w:rPr>
        <w:t xml:space="preserve">2) </w:t>
      </w:r>
      <w:r w:rsidR="00421027" w:rsidRPr="00A234A2">
        <w:rPr>
          <w:lang w:val="en-US"/>
        </w:rPr>
        <w:t xml:space="preserve">some of the observed effects in the studies may not be directly attributed to </w:t>
      </w:r>
      <w:r w:rsidR="00374EBE" w:rsidRPr="00A234A2">
        <w:rPr>
          <w:lang w:val="en-US"/>
        </w:rPr>
        <w:t xml:space="preserve">the </w:t>
      </w:r>
      <w:r w:rsidR="00421027" w:rsidRPr="00A234A2">
        <w:rPr>
          <w:lang w:val="en-US"/>
        </w:rPr>
        <w:t>silver</w:t>
      </w:r>
      <w:r w:rsidR="00374EBE" w:rsidRPr="00A234A2">
        <w:rPr>
          <w:lang w:val="en-US"/>
        </w:rPr>
        <w:t xml:space="preserve"> ion</w:t>
      </w:r>
      <w:r w:rsidR="00B64BD1" w:rsidRPr="00A234A2">
        <w:rPr>
          <w:lang w:val="en-US"/>
        </w:rPr>
        <w:t xml:space="preserve">, </w:t>
      </w:r>
      <w:r w:rsidRPr="00A234A2">
        <w:rPr>
          <w:lang w:val="en-US"/>
        </w:rPr>
        <w:t xml:space="preserve">and </w:t>
      </w:r>
      <w:r w:rsidR="00B64BD1" w:rsidRPr="00A234A2">
        <w:rPr>
          <w:lang w:val="en-US"/>
        </w:rPr>
        <w:t>3)</w:t>
      </w:r>
      <w:r w:rsidR="00421027" w:rsidRPr="00A234A2">
        <w:rPr>
          <w:lang w:val="en-US"/>
        </w:rPr>
        <w:t xml:space="preserve"> some of the observed effects can be considered secondary / indirect effects</w:t>
      </w:r>
      <w:r w:rsidR="00B64BD1" w:rsidRPr="00A234A2">
        <w:rPr>
          <w:lang w:val="en-US"/>
        </w:rPr>
        <w:t>.</w:t>
      </w:r>
    </w:p>
    <w:p w14:paraId="565C0EA8" w14:textId="19BAE3E8" w:rsidR="00F50D1A" w:rsidRPr="00F55661" w:rsidRDefault="00F50D1A" w:rsidP="00A234A2">
      <w:pPr>
        <w:pStyle w:val="ListParagraph"/>
        <w:numPr>
          <w:ilvl w:val="1"/>
          <w:numId w:val="10"/>
        </w:numPr>
        <w:jc w:val="both"/>
        <w:rPr>
          <w:lang w:val="en-US"/>
        </w:rPr>
      </w:pPr>
      <w:r>
        <w:rPr>
          <w:lang w:val="en-US"/>
        </w:rPr>
        <w:t xml:space="preserve">In addition to the </w:t>
      </w:r>
      <w:r w:rsidR="00501065">
        <w:rPr>
          <w:lang w:val="en-US"/>
        </w:rPr>
        <w:t xml:space="preserve">limited </w:t>
      </w:r>
      <w:r w:rsidR="00421027">
        <w:rPr>
          <w:lang w:val="en-US"/>
        </w:rPr>
        <w:t>data</w:t>
      </w:r>
      <w:r w:rsidR="00501065">
        <w:rPr>
          <w:lang w:val="en-US"/>
        </w:rPr>
        <w:t xml:space="preserve"> available for classification</w:t>
      </w:r>
      <w:r w:rsidR="00374EBE">
        <w:rPr>
          <w:lang w:val="en-US"/>
        </w:rPr>
        <w:t xml:space="preserve"> as a reprotoxicant</w:t>
      </w:r>
      <w:r>
        <w:rPr>
          <w:lang w:val="en-US"/>
        </w:rPr>
        <w:t xml:space="preserve">, it is questionable whether the </w:t>
      </w:r>
      <w:r w:rsidR="00421027">
        <w:rPr>
          <w:lang w:val="en-US"/>
        </w:rPr>
        <w:t>existing</w:t>
      </w:r>
      <w:r w:rsidR="00C51160">
        <w:rPr>
          <w:lang w:val="en-US"/>
        </w:rPr>
        <w:t xml:space="preserve"> </w:t>
      </w:r>
      <w:r>
        <w:rPr>
          <w:lang w:val="en-US"/>
        </w:rPr>
        <w:t>studies</w:t>
      </w:r>
      <w:r w:rsidR="00C51160">
        <w:rPr>
          <w:lang w:val="en-US"/>
        </w:rPr>
        <w:t xml:space="preserve"> can</w:t>
      </w:r>
      <w:r w:rsidR="00501065">
        <w:rPr>
          <w:lang w:val="en-US"/>
        </w:rPr>
        <w:t xml:space="preserve"> justifiably be extrapolated to elemental silver.</w:t>
      </w:r>
      <w:r w:rsidR="00374EBE">
        <w:rPr>
          <w:lang w:val="en-US"/>
        </w:rPr>
        <w:t xml:space="preserve"> EPMF is of the opinion that data for secure read-across is currently lacking</w:t>
      </w:r>
      <w:r w:rsidR="00C27C3E">
        <w:rPr>
          <w:lang w:val="en-US"/>
        </w:rPr>
        <w:t xml:space="preserve"> and is in the process of generating further toxicokinetic data for read-across purposes</w:t>
      </w:r>
      <w:r w:rsidR="00501065">
        <w:rPr>
          <w:lang w:val="en-US"/>
        </w:rPr>
        <w:t xml:space="preserve">. </w:t>
      </w:r>
      <w:r>
        <w:rPr>
          <w:lang w:val="en-US"/>
        </w:rPr>
        <w:t xml:space="preserve"> </w:t>
      </w:r>
    </w:p>
    <w:p w14:paraId="24AB2617" w14:textId="77777777" w:rsidR="006F0313" w:rsidRDefault="006F0313" w:rsidP="006F0313">
      <w:pPr>
        <w:rPr>
          <w:lang w:val="en-GB"/>
        </w:rPr>
      </w:pPr>
      <w:r>
        <w:rPr>
          <w:lang w:val="en-GB"/>
        </w:rPr>
        <w:lastRenderedPageBreak/>
        <w:t>The information and data used by EPMF are available in the related REACH registration dossiers as</w:t>
      </w:r>
      <w:r w:rsidR="0076310D">
        <w:rPr>
          <w:lang w:val="en-GB"/>
        </w:rPr>
        <w:t xml:space="preserve"> well as</w:t>
      </w:r>
      <w:r>
        <w:rPr>
          <w:lang w:val="en-GB"/>
        </w:rPr>
        <w:t xml:space="preserve"> the interpretation of th</w:t>
      </w:r>
      <w:r w:rsidR="0076310D">
        <w:rPr>
          <w:lang w:val="en-GB"/>
        </w:rPr>
        <w:t>e</w:t>
      </w:r>
      <w:r>
        <w:rPr>
          <w:lang w:val="en-GB"/>
        </w:rPr>
        <w:t xml:space="preserve"> data. </w:t>
      </w:r>
      <w:r w:rsidR="006E3D8F">
        <w:rPr>
          <w:lang w:val="en-GB"/>
        </w:rPr>
        <w:t xml:space="preserve">A Testing Proposal for an EOGRTs has been submitted to fill in the data gap and allow an informed review of the classification. </w:t>
      </w:r>
    </w:p>
    <w:p w14:paraId="54E0F8C7" w14:textId="77777777" w:rsidR="0076310D" w:rsidRDefault="0076310D" w:rsidP="006F0313">
      <w:pPr>
        <w:rPr>
          <w:lang w:val="en-GB"/>
        </w:rPr>
      </w:pPr>
    </w:p>
    <w:p w14:paraId="55B4BB84" w14:textId="77777777" w:rsidR="0076310D" w:rsidRPr="006F0313" w:rsidRDefault="0076310D" w:rsidP="006F0313">
      <w:pPr>
        <w:rPr>
          <w:lang w:val="en-GB"/>
        </w:rPr>
      </w:pPr>
    </w:p>
    <w:p w14:paraId="118A8CE6" w14:textId="77777777" w:rsidR="00AD5C3C" w:rsidRDefault="00AD5C3C" w:rsidP="004C18C5">
      <w:pPr>
        <w:pStyle w:val="EPMFSubTitleSmall"/>
        <w:jc w:val="both"/>
        <w:rPr>
          <w:lang w:val="en-GB"/>
        </w:rPr>
      </w:pPr>
      <w:r>
        <w:rPr>
          <w:lang w:val="en-GB"/>
        </w:rPr>
        <w:t xml:space="preserve">What is the process and timeline </w:t>
      </w:r>
      <w:r w:rsidR="00F55661">
        <w:rPr>
          <w:lang w:val="en-GB"/>
        </w:rPr>
        <w:t>of a CLH proposal</w:t>
      </w:r>
      <w:r>
        <w:rPr>
          <w:lang w:val="en-GB"/>
        </w:rPr>
        <w:t xml:space="preserve">? </w:t>
      </w:r>
    </w:p>
    <w:p w14:paraId="0B4C1425" w14:textId="10A71CDD" w:rsidR="00F55661" w:rsidRDefault="00F55661" w:rsidP="00F55661">
      <w:pPr>
        <w:pStyle w:val="EPMFSubTitleSmall"/>
        <w:numPr>
          <w:ilvl w:val="0"/>
          <w:numId w:val="0"/>
        </w:numPr>
        <w:ind w:left="284" w:hanging="284"/>
        <w:jc w:val="both"/>
        <w:rPr>
          <w:lang w:val="en-GB"/>
        </w:rPr>
      </w:pPr>
      <w:r>
        <w:rPr>
          <w:noProof/>
          <w:lang w:val="en-US"/>
        </w:rPr>
        <w:drawing>
          <wp:inline distT="0" distB="0" distL="0" distR="0" wp14:anchorId="4D3779C3" wp14:editId="64470222">
            <wp:extent cx="5569315" cy="284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9315" cy="2844000"/>
                    </a:xfrm>
                    <a:prstGeom prst="rect">
                      <a:avLst/>
                    </a:prstGeom>
                    <a:noFill/>
                  </pic:spPr>
                </pic:pic>
              </a:graphicData>
            </a:graphic>
          </wp:inline>
        </w:drawing>
      </w:r>
    </w:p>
    <w:p w14:paraId="760AFD4F" w14:textId="2283E2BE" w:rsidR="00214737" w:rsidRPr="00A234A2" w:rsidRDefault="00214737" w:rsidP="00F55661">
      <w:pPr>
        <w:pStyle w:val="EPMFSubTitleSmall"/>
        <w:numPr>
          <w:ilvl w:val="0"/>
          <w:numId w:val="0"/>
        </w:numPr>
        <w:ind w:left="284" w:hanging="284"/>
        <w:jc w:val="both"/>
        <w:rPr>
          <w:i/>
          <w:sz w:val="20"/>
          <w:szCs w:val="20"/>
          <w:lang w:val="en-GB"/>
        </w:rPr>
      </w:pPr>
      <w:r w:rsidRPr="00A234A2">
        <w:rPr>
          <w:i/>
          <w:sz w:val="20"/>
          <w:szCs w:val="20"/>
          <w:lang w:val="en-GB"/>
        </w:rPr>
        <w:t>Figure from https://echa.europa.eu/regulations/clp/harmonised-classification-and-labelling</w:t>
      </w:r>
    </w:p>
    <w:p w14:paraId="00AD98F3" w14:textId="77777777" w:rsidR="00F55661" w:rsidRPr="002744C8" w:rsidRDefault="00F55661" w:rsidP="00F55661">
      <w:pPr>
        <w:rPr>
          <w:lang w:val="en-GB"/>
        </w:rPr>
      </w:pPr>
      <w:r w:rsidRPr="00214737">
        <w:rPr>
          <w:lang w:val="en-GB"/>
        </w:rPr>
        <w:t xml:space="preserve">Based on the above process, a harmonized classification for silver could </w:t>
      </w:r>
      <w:r w:rsidR="00F27B21" w:rsidRPr="00214737">
        <w:rPr>
          <w:lang w:val="en-GB"/>
        </w:rPr>
        <w:t xml:space="preserve">be </w:t>
      </w:r>
      <w:r w:rsidRPr="00214737">
        <w:rPr>
          <w:lang w:val="en-GB"/>
        </w:rPr>
        <w:t>published in the Annex VI of the CLP in 2022</w:t>
      </w:r>
      <w:r w:rsidR="006E3D8F" w:rsidRPr="00214737">
        <w:rPr>
          <w:lang w:val="en-GB"/>
        </w:rPr>
        <w:t>/2023</w:t>
      </w:r>
      <w:r w:rsidRPr="002744C8">
        <w:rPr>
          <w:lang w:val="en-GB"/>
        </w:rPr>
        <w:t xml:space="preserve"> at the earliest. </w:t>
      </w:r>
    </w:p>
    <w:p w14:paraId="1ED15D06" w14:textId="77777777" w:rsidR="00AD5C3C" w:rsidRDefault="00AD5C3C" w:rsidP="004C18C5">
      <w:pPr>
        <w:pStyle w:val="EPMFSubTitleSmall"/>
        <w:jc w:val="both"/>
        <w:rPr>
          <w:lang w:val="en-GB"/>
        </w:rPr>
      </w:pPr>
      <w:r>
        <w:rPr>
          <w:lang w:val="en-GB"/>
        </w:rPr>
        <w:t xml:space="preserve">What </w:t>
      </w:r>
      <w:r w:rsidR="0076310D">
        <w:rPr>
          <w:lang w:val="en-GB"/>
        </w:rPr>
        <w:t>would be</w:t>
      </w:r>
      <w:r>
        <w:rPr>
          <w:lang w:val="en-GB"/>
        </w:rPr>
        <w:t xml:space="preserve"> the consequences of a classification as </w:t>
      </w:r>
      <w:r w:rsidR="0076310D">
        <w:rPr>
          <w:lang w:val="en-GB"/>
        </w:rPr>
        <w:t>R</w:t>
      </w:r>
      <w:r>
        <w:rPr>
          <w:lang w:val="en-GB"/>
        </w:rPr>
        <w:t>eprotox</w:t>
      </w:r>
      <w:r w:rsidR="00EC483B">
        <w:rPr>
          <w:lang w:val="en-GB"/>
        </w:rPr>
        <w:t>ic</w:t>
      </w:r>
      <w:r>
        <w:rPr>
          <w:lang w:val="en-GB"/>
        </w:rPr>
        <w:t xml:space="preserve"> cat 1B</w:t>
      </w:r>
      <w:r w:rsidR="0076310D">
        <w:rPr>
          <w:lang w:val="en-GB"/>
        </w:rPr>
        <w:t xml:space="preserve">, </w:t>
      </w:r>
      <w:r w:rsidR="0076310D">
        <w:rPr>
          <w:lang w:val="en-US"/>
        </w:rPr>
        <w:t>H360F</w:t>
      </w:r>
      <w:r>
        <w:rPr>
          <w:lang w:val="en-GB"/>
        </w:rPr>
        <w:t xml:space="preserve"> as proposed by Sweden? </w:t>
      </w:r>
    </w:p>
    <w:p w14:paraId="60EA723D" w14:textId="7E058013" w:rsidR="00C77A4E" w:rsidRDefault="00C77A4E" w:rsidP="00C77A4E">
      <w:pPr>
        <w:jc w:val="both"/>
        <w:rPr>
          <w:lang w:val="en-GB"/>
        </w:rPr>
      </w:pPr>
      <w:r w:rsidRPr="001C09C8">
        <w:rPr>
          <w:lang w:val="en-GB"/>
        </w:rPr>
        <w:t>The resultant regulatory and economic consequences would be considerable</w:t>
      </w:r>
      <w:r w:rsidR="0076310D">
        <w:rPr>
          <w:lang w:val="en-GB"/>
        </w:rPr>
        <w:t>,</w:t>
      </w:r>
      <w:r w:rsidRPr="001C09C8">
        <w:rPr>
          <w:lang w:val="en-GB"/>
        </w:rPr>
        <w:t xml:space="preserve"> not only for the precious metals industry</w:t>
      </w:r>
      <w:r w:rsidR="0076310D">
        <w:rPr>
          <w:lang w:val="en-GB"/>
        </w:rPr>
        <w:t>,</w:t>
      </w:r>
      <w:r w:rsidRPr="001C09C8">
        <w:rPr>
          <w:lang w:val="en-GB"/>
        </w:rPr>
        <w:t xml:space="preserve"> but also for the downstream </w:t>
      </w:r>
      <w:r w:rsidR="000A5FD8">
        <w:rPr>
          <w:lang w:val="en-GB"/>
        </w:rPr>
        <w:t xml:space="preserve">industrial </w:t>
      </w:r>
      <w:r w:rsidRPr="001C09C8">
        <w:rPr>
          <w:lang w:val="en-GB"/>
        </w:rPr>
        <w:t>sectors using silver in critical</w:t>
      </w:r>
      <w:r w:rsidR="000A5FD8">
        <w:rPr>
          <w:lang w:val="en-GB"/>
        </w:rPr>
        <w:t xml:space="preserve"> </w:t>
      </w:r>
      <w:r w:rsidRPr="001C09C8">
        <w:rPr>
          <w:lang w:val="en-GB"/>
        </w:rPr>
        <w:t xml:space="preserve">technology applications </w:t>
      </w:r>
      <w:r w:rsidR="000A5FD8">
        <w:rPr>
          <w:lang w:val="en-GB"/>
        </w:rPr>
        <w:t xml:space="preserve">such as </w:t>
      </w:r>
      <w:r w:rsidRPr="001C09C8">
        <w:rPr>
          <w:lang w:val="en-GB"/>
        </w:rPr>
        <w:t xml:space="preserve">photovoltaics, </w:t>
      </w:r>
      <w:r w:rsidR="000A5FD8">
        <w:rPr>
          <w:lang w:val="en-GB"/>
        </w:rPr>
        <w:t xml:space="preserve">rapid charging, </w:t>
      </w:r>
      <w:r w:rsidRPr="001C09C8">
        <w:rPr>
          <w:lang w:val="en-GB"/>
        </w:rPr>
        <w:t>electronics,</w:t>
      </w:r>
      <w:r w:rsidR="000A5FD8">
        <w:rPr>
          <w:lang w:val="en-GB"/>
        </w:rPr>
        <w:t xml:space="preserve"> and</w:t>
      </w:r>
      <w:r w:rsidRPr="001C09C8">
        <w:rPr>
          <w:lang w:val="en-GB"/>
        </w:rPr>
        <w:t xml:space="preserve"> medical</w:t>
      </w:r>
      <w:r w:rsidR="00C27C3E">
        <w:rPr>
          <w:lang w:val="en-GB"/>
        </w:rPr>
        <w:t xml:space="preserve"> </w:t>
      </w:r>
      <w:r w:rsidR="00123D17">
        <w:rPr>
          <w:lang w:val="en-GB"/>
        </w:rPr>
        <w:t>devices</w:t>
      </w:r>
      <w:r w:rsidR="000A5FD8">
        <w:rPr>
          <w:lang w:val="en-GB"/>
        </w:rPr>
        <w:t>.</w:t>
      </w:r>
      <w:r w:rsidRPr="001C09C8">
        <w:rPr>
          <w:lang w:val="en-GB"/>
        </w:rPr>
        <w:t xml:space="preserve"> </w:t>
      </w:r>
      <w:r w:rsidR="000A5FD8">
        <w:rPr>
          <w:lang w:val="en-GB"/>
        </w:rPr>
        <w:t xml:space="preserve">European </w:t>
      </w:r>
      <w:r w:rsidR="00577F35">
        <w:rPr>
          <w:lang w:val="en-GB"/>
        </w:rPr>
        <w:t>C</w:t>
      </w:r>
      <w:r w:rsidR="000A5FD8">
        <w:rPr>
          <w:lang w:val="en-GB"/>
        </w:rPr>
        <w:t xml:space="preserve">itizens will be </w:t>
      </w:r>
      <w:r w:rsidR="00577F35">
        <w:rPr>
          <w:lang w:val="en-GB"/>
        </w:rPr>
        <w:t xml:space="preserve">directly </w:t>
      </w:r>
      <w:r w:rsidR="000A5FD8">
        <w:rPr>
          <w:lang w:val="en-GB"/>
        </w:rPr>
        <w:t>impacted through</w:t>
      </w:r>
      <w:r w:rsidRPr="001C09C8">
        <w:rPr>
          <w:lang w:val="en-GB"/>
        </w:rPr>
        <w:t xml:space="preserve"> jewellery, silverware</w:t>
      </w:r>
      <w:r w:rsidR="000A5FD8">
        <w:rPr>
          <w:lang w:val="en-GB"/>
        </w:rPr>
        <w:t>,</w:t>
      </w:r>
      <w:r w:rsidRPr="001C09C8">
        <w:rPr>
          <w:lang w:val="en-GB"/>
        </w:rPr>
        <w:t xml:space="preserve"> and bank investments. Indeed, a substance classified as </w:t>
      </w:r>
      <w:r w:rsidR="000A5FD8">
        <w:rPr>
          <w:lang w:val="en-GB"/>
        </w:rPr>
        <w:t>R</w:t>
      </w:r>
      <w:r w:rsidRPr="001C09C8">
        <w:rPr>
          <w:lang w:val="en-GB"/>
        </w:rPr>
        <w:t xml:space="preserve">eprotoxic Cat. 1B can be restricted for consumer use as </w:t>
      </w:r>
      <w:r w:rsidR="00DC2109">
        <w:rPr>
          <w:lang w:val="en-GB"/>
        </w:rPr>
        <w:t xml:space="preserve">both </w:t>
      </w:r>
      <w:r w:rsidRPr="001C09C8">
        <w:rPr>
          <w:lang w:val="en-GB"/>
        </w:rPr>
        <w:t>a pure substance and as a component of a mixture (REACH, Articles 68.2 and 133.4). This means that silver would be banned f</w:t>
      </w:r>
      <w:r w:rsidR="00DC2109">
        <w:rPr>
          <w:lang w:val="en-GB"/>
        </w:rPr>
        <w:t>rom</w:t>
      </w:r>
      <w:r w:rsidRPr="001C09C8">
        <w:rPr>
          <w:lang w:val="en-GB"/>
        </w:rPr>
        <w:t xml:space="preserve"> the EU market </w:t>
      </w:r>
      <w:r w:rsidR="00DC2109">
        <w:rPr>
          <w:lang w:val="en-GB"/>
        </w:rPr>
        <w:t>for</w:t>
      </w:r>
      <w:r w:rsidRPr="001C09C8">
        <w:rPr>
          <w:lang w:val="en-GB"/>
        </w:rPr>
        <w:t xml:space="preserve"> certain electronics</w:t>
      </w:r>
      <w:r w:rsidR="006E3D8F">
        <w:rPr>
          <w:lang w:val="en-GB"/>
        </w:rPr>
        <w:t xml:space="preserve"> produced in the EU</w:t>
      </w:r>
      <w:r w:rsidRPr="001C09C8">
        <w:rPr>
          <w:lang w:val="en-GB"/>
        </w:rPr>
        <w:t xml:space="preserve">, brazing alloys (where silver is a key substitute for cadmium), silverware, jewellery, bank investments, and coinage </w:t>
      </w:r>
      <w:r w:rsidR="000A5FD8">
        <w:rPr>
          <w:lang w:val="en-GB"/>
        </w:rPr>
        <w:t>for</w:t>
      </w:r>
      <w:r w:rsidRPr="001C09C8">
        <w:rPr>
          <w:lang w:val="en-GB"/>
        </w:rPr>
        <w:t xml:space="preserve"> which silver has been used globally for thousands of years</w:t>
      </w:r>
      <w:r>
        <w:rPr>
          <w:lang w:val="en-GB"/>
        </w:rPr>
        <w:t xml:space="preserve">. </w:t>
      </w:r>
    </w:p>
    <w:p w14:paraId="1D2D894F" w14:textId="77777777" w:rsidR="00C77A4E" w:rsidRDefault="000A5FD8" w:rsidP="00C77A4E">
      <w:pPr>
        <w:jc w:val="both"/>
        <w:rPr>
          <w:lang w:val="en-GB"/>
        </w:rPr>
      </w:pPr>
      <w:r>
        <w:rPr>
          <w:lang w:val="en-GB"/>
        </w:rPr>
        <w:t xml:space="preserve">Equally </w:t>
      </w:r>
      <w:r w:rsidR="00C77A4E" w:rsidRPr="001C09C8">
        <w:rPr>
          <w:lang w:val="en-GB"/>
        </w:rPr>
        <w:t>important</w:t>
      </w:r>
      <w:r>
        <w:rPr>
          <w:lang w:val="en-GB"/>
        </w:rPr>
        <w:t>,</w:t>
      </w:r>
      <w:r w:rsidR="00C77A4E" w:rsidRPr="001C09C8">
        <w:rPr>
          <w:lang w:val="en-GB"/>
        </w:rPr>
        <w:t xml:space="preserve"> there would be a detrimental impact in silver’s use in medical devices due to the constraints of the Regulation on Medical Devices [2012/0266/COD]. </w:t>
      </w:r>
      <w:r>
        <w:rPr>
          <w:lang w:val="en-GB"/>
        </w:rPr>
        <w:t>A</w:t>
      </w:r>
      <w:r w:rsidR="00C77A4E" w:rsidRPr="001C09C8">
        <w:rPr>
          <w:lang w:val="en-GB"/>
        </w:rPr>
        <w:t xml:space="preserve">ll the biocidal uses as active substance of silver and silver compounds would be restricted based on the Biocidal Products Regulation (528/2012). This in turn would affect a whole class of important silver-based micro-biocides used in medical and general disinfection applications. Such disinfectants are now recognised </w:t>
      </w:r>
      <w:r w:rsidR="0076310D">
        <w:rPr>
          <w:lang w:val="en-GB"/>
        </w:rPr>
        <w:t xml:space="preserve">to be </w:t>
      </w:r>
      <w:r>
        <w:rPr>
          <w:lang w:val="en-GB"/>
        </w:rPr>
        <w:t xml:space="preserve">a </w:t>
      </w:r>
      <w:r w:rsidR="00C77A4E" w:rsidRPr="001C09C8">
        <w:rPr>
          <w:lang w:val="en-GB"/>
        </w:rPr>
        <w:t xml:space="preserve">key </w:t>
      </w:r>
      <w:r w:rsidR="0076310D">
        <w:rPr>
          <w:lang w:val="en-GB"/>
        </w:rPr>
        <w:t xml:space="preserve">part </w:t>
      </w:r>
      <w:r w:rsidR="0076310D">
        <w:rPr>
          <w:lang w:val="en-GB"/>
        </w:rPr>
        <w:lastRenderedPageBreak/>
        <w:t xml:space="preserve">of a </w:t>
      </w:r>
      <w:r w:rsidR="00C77A4E" w:rsidRPr="001C09C8">
        <w:rPr>
          <w:lang w:val="en-GB"/>
        </w:rPr>
        <w:t xml:space="preserve">highly effective response strategy to address the </w:t>
      </w:r>
      <w:r w:rsidR="0076310D">
        <w:rPr>
          <w:lang w:val="en-GB"/>
        </w:rPr>
        <w:t xml:space="preserve">growing </w:t>
      </w:r>
      <w:r w:rsidR="0076310D" w:rsidRPr="001C09C8">
        <w:rPr>
          <w:lang w:val="en-GB"/>
        </w:rPr>
        <w:t xml:space="preserve">microbial antibiotic resistance </w:t>
      </w:r>
      <w:r w:rsidR="0076310D">
        <w:rPr>
          <w:lang w:val="en-GB"/>
        </w:rPr>
        <w:t xml:space="preserve">and </w:t>
      </w:r>
      <w:r>
        <w:rPr>
          <w:lang w:val="en-GB"/>
        </w:rPr>
        <w:t>the related</w:t>
      </w:r>
      <w:r w:rsidR="00D50CF9">
        <w:rPr>
          <w:lang w:val="en-GB"/>
        </w:rPr>
        <w:t>,</w:t>
      </w:r>
      <w:r>
        <w:rPr>
          <w:lang w:val="en-GB"/>
        </w:rPr>
        <w:t xml:space="preserve"> </w:t>
      </w:r>
      <w:r w:rsidR="00DC2109">
        <w:rPr>
          <w:lang w:val="en-GB"/>
        </w:rPr>
        <w:t>worsening</w:t>
      </w:r>
      <w:r w:rsidR="00C77A4E" w:rsidRPr="001C09C8">
        <w:rPr>
          <w:lang w:val="en-GB"/>
        </w:rPr>
        <w:t xml:space="preserve"> human health crisis. </w:t>
      </w:r>
    </w:p>
    <w:p w14:paraId="76F95025" w14:textId="77777777" w:rsidR="00C77A4E" w:rsidRPr="001C09C8" w:rsidRDefault="00C77A4E" w:rsidP="00C77A4E">
      <w:pPr>
        <w:jc w:val="both"/>
        <w:rPr>
          <w:lang w:val="en-GB"/>
        </w:rPr>
      </w:pPr>
      <w:r>
        <w:rPr>
          <w:lang w:val="en-GB"/>
        </w:rPr>
        <w:t>Harmonizing</w:t>
      </w:r>
      <w:r w:rsidRPr="001C09C8">
        <w:rPr>
          <w:lang w:val="en-GB"/>
        </w:rPr>
        <w:t xml:space="preserve"> the classification of silver as </w:t>
      </w:r>
      <w:r w:rsidR="000A5FD8">
        <w:rPr>
          <w:lang w:val="en-GB"/>
        </w:rPr>
        <w:t>R</w:t>
      </w:r>
      <w:r w:rsidRPr="001C09C8">
        <w:rPr>
          <w:lang w:val="en-GB"/>
        </w:rPr>
        <w:t>eprotoxic Cat. 1B</w:t>
      </w:r>
      <w:r>
        <w:rPr>
          <w:lang w:val="en-GB"/>
        </w:rPr>
        <w:t>, based on flawed science and despite remaining data gaps,</w:t>
      </w:r>
      <w:r w:rsidRPr="001C09C8">
        <w:rPr>
          <w:lang w:val="en-GB"/>
        </w:rPr>
        <w:t xml:space="preserve"> would mean that most of these critical applications of silver in the EU </w:t>
      </w:r>
      <w:r w:rsidR="000A5FD8">
        <w:rPr>
          <w:lang w:val="en-GB"/>
        </w:rPr>
        <w:t>w</w:t>
      </w:r>
      <w:r w:rsidRPr="001C09C8">
        <w:rPr>
          <w:lang w:val="en-GB"/>
        </w:rPr>
        <w:t xml:space="preserve">ould be banned. </w:t>
      </w:r>
    </w:p>
    <w:p w14:paraId="5584A156" w14:textId="77777777" w:rsidR="00AD5C3C" w:rsidRDefault="0076310D" w:rsidP="00C77A4E">
      <w:pPr>
        <w:pStyle w:val="EPMFSubTitleSmall"/>
        <w:rPr>
          <w:lang w:val="en-GB"/>
        </w:rPr>
      </w:pPr>
      <w:r>
        <w:rPr>
          <w:lang w:val="en-GB"/>
        </w:rPr>
        <w:t>Why would a</w:t>
      </w:r>
      <w:r w:rsidR="00AD5C3C">
        <w:rPr>
          <w:lang w:val="en-GB"/>
        </w:rPr>
        <w:t xml:space="preserve"> proposal submitted in the context of the Biocidal Products Regulation (BPR)</w:t>
      </w:r>
      <w:r>
        <w:rPr>
          <w:lang w:val="en-GB"/>
        </w:rPr>
        <w:t xml:space="preserve"> </w:t>
      </w:r>
      <w:r w:rsidR="00AD5C3C">
        <w:rPr>
          <w:lang w:val="en-GB"/>
        </w:rPr>
        <w:t xml:space="preserve">impact silver and silver compounds used in other applications? </w:t>
      </w:r>
    </w:p>
    <w:p w14:paraId="5C2E50DC" w14:textId="484E9B54" w:rsidR="007B0CAB" w:rsidRDefault="0076310D" w:rsidP="00945BF3">
      <w:pPr>
        <w:jc w:val="both"/>
        <w:rPr>
          <w:lang w:val="en-GB"/>
        </w:rPr>
      </w:pPr>
      <w:r>
        <w:rPr>
          <w:lang w:val="en-GB"/>
        </w:rPr>
        <w:t>T</w:t>
      </w:r>
      <w:r w:rsidR="00945BF3">
        <w:rPr>
          <w:lang w:val="en-GB"/>
        </w:rPr>
        <w:t xml:space="preserve">he </w:t>
      </w:r>
      <w:r>
        <w:rPr>
          <w:lang w:val="en-GB"/>
        </w:rPr>
        <w:t xml:space="preserve">ongoing </w:t>
      </w:r>
      <w:r w:rsidR="00945BF3">
        <w:rPr>
          <w:lang w:val="en-GB"/>
        </w:rPr>
        <w:t>CLH process has broader consequences than the BPR. As soon as a substance has a harmonized classification</w:t>
      </w:r>
      <w:r>
        <w:rPr>
          <w:lang w:val="en-GB"/>
        </w:rPr>
        <w:t>,</w:t>
      </w:r>
      <w:r w:rsidR="00945BF3">
        <w:rPr>
          <w:lang w:val="en-GB"/>
        </w:rPr>
        <w:t xml:space="preserve"> the impact is not limited to a </w:t>
      </w:r>
      <w:r>
        <w:rPr>
          <w:lang w:val="en-GB"/>
        </w:rPr>
        <w:t>particular</w:t>
      </w:r>
      <w:r w:rsidR="00945BF3">
        <w:rPr>
          <w:lang w:val="en-GB"/>
        </w:rPr>
        <w:t xml:space="preserve"> regulatory context. It will affect the REACH registration process and will have to be applied by all silver producers</w:t>
      </w:r>
      <w:r w:rsidR="009D3E2A">
        <w:rPr>
          <w:lang w:val="en-GB"/>
        </w:rPr>
        <w:t xml:space="preserve"> and </w:t>
      </w:r>
      <w:r w:rsidR="00945BF3">
        <w:rPr>
          <w:lang w:val="en-GB"/>
        </w:rPr>
        <w:t>downstream users</w:t>
      </w:r>
      <w:r w:rsidR="009D3E2A">
        <w:rPr>
          <w:lang w:val="en-GB"/>
        </w:rPr>
        <w:t xml:space="preserve"> with important downstream regulatory consequences (e.g.; restriction for consumer uses).</w:t>
      </w:r>
    </w:p>
    <w:p w14:paraId="77E0E1FC" w14:textId="77777777" w:rsidR="00AD5C3C" w:rsidRDefault="004C18C5" w:rsidP="004C18C5">
      <w:pPr>
        <w:pStyle w:val="EPMFSubTitleSmall"/>
        <w:jc w:val="both"/>
        <w:rPr>
          <w:lang w:val="en-GB"/>
        </w:rPr>
      </w:pPr>
      <w:r>
        <w:rPr>
          <w:lang w:val="en-GB"/>
        </w:rPr>
        <w:t xml:space="preserve">What role </w:t>
      </w:r>
      <w:r w:rsidR="000A5FD8">
        <w:rPr>
          <w:lang w:val="en-GB"/>
        </w:rPr>
        <w:t xml:space="preserve">can </w:t>
      </w:r>
      <w:r>
        <w:rPr>
          <w:lang w:val="en-GB"/>
        </w:rPr>
        <w:t xml:space="preserve">EPMF </w:t>
      </w:r>
      <w:r w:rsidR="000A5FD8">
        <w:rPr>
          <w:lang w:val="en-GB"/>
        </w:rPr>
        <w:t xml:space="preserve">play </w:t>
      </w:r>
      <w:r>
        <w:rPr>
          <w:lang w:val="en-GB"/>
        </w:rPr>
        <w:t xml:space="preserve">in the CLH process? </w:t>
      </w:r>
    </w:p>
    <w:p w14:paraId="094A6721" w14:textId="0AA9CD38" w:rsidR="007B0CAB" w:rsidRDefault="00945BF3" w:rsidP="00945BF3">
      <w:pPr>
        <w:jc w:val="both"/>
        <w:rPr>
          <w:lang w:val="en-GB"/>
        </w:rPr>
      </w:pPr>
      <w:r>
        <w:rPr>
          <w:lang w:val="en-GB"/>
        </w:rPr>
        <w:t>The CLH process allows the input of the stakeholders at two stage</w:t>
      </w:r>
      <w:r w:rsidR="00F27B21">
        <w:rPr>
          <w:lang w:val="en-GB"/>
        </w:rPr>
        <w:t>s</w:t>
      </w:r>
      <w:r>
        <w:rPr>
          <w:lang w:val="en-GB"/>
        </w:rPr>
        <w:t xml:space="preserve">: the public consultation and the </w:t>
      </w:r>
      <w:r w:rsidR="000A5FD8">
        <w:rPr>
          <w:lang w:val="en-GB"/>
        </w:rPr>
        <w:t>Risk Assessment Committee (</w:t>
      </w:r>
      <w:r>
        <w:rPr>
          <w:lang w:val="en-GB"/>
        </w:rPr>
        <w:t>RAC</w:t>
      </w:r>
      <w:r w:rsidR="000A5FD8">
        <w:rPr>
          <w:lang w:val="en-GB"/>
        </w:rPr>
        <w:t>)</w:t>
      </w:r>
      <w:r>
        <w:rPr>
          <w:lang w:val="en-GB"/>
        </w:rPr>
        <w:t xml:space="preserve"> discussion. </w:t>
      </w:r>
      <w:r w:rsidR="002C12E0">
        <w:rPr>
          <w:lang w:val="en-GB"/>
        </w:rPr>
        <w:t>EPMF is prepared to provide</w:t>
      </w:r>
      <w:r>
        <w:rPr>
          <w:lang w:val="en-GB"/>
        </w:rPr>
        <w:t xml:space="preserve"> a </w:t>
      </w:r>
      <w:r w:rsidR="002C12E0">
        <w:rPr>
          <w:lang w:val="en-GB"/>
        </w:rPr>
        <w:t>strong</w:t>
      </w:r>
      <w:r>
        <w:rPr>
          <w:lang w:val="en-GB"/>
        </w:rPr>
        <w:t xml:space="preserve"> scientific input to the public consultation and to co</w:t>
      </w:r>
      <w:r w:rsidR="002C12E0">
        <w:rPr>
          <w:lang w:val="en-GB"/>
        </w:rPr>
        <w:t xml:space="preserve">ntribute to the RAC discussions. EPMF will defend a </w:t>
      </w:r>
      <w:r w:rsidR="00D50CF9">
        <w:rPr>
          <w:lang w:val="en-GB"/>
        </w:rPr>
        <w:t xml:space="preserve">responsible </w:t>
      </w:r>
      <w:r w:rsidR="002C12E0">
        <w:rPr>
          <w:lang w:val="en-GB"/>
        </w:rPr>
        <w:t xml:space="preserve"> science</w:t>
      </w:r>
      <w:r w:rsidR="00D50CF9">
        <w:rPr>
          <w:lang w:val="en-GB"/>
        </w:rPr>
        <w:t>-</w:t>
      </w:r>
      <w:r w:rsidR="002C12E0">
        <w:rPr>
          <w:lang w:val="en-GB"/>
        </w:rPr>
        <w:t>based process to define a harmonized classification for silver</w:t>
      </w:r>
      <w:r w:rsidR="00123D17">
        <w:rPr>
          <w:lang w:val="en-GB"/>
        </w:rPr>
        <w:t xml:space="preserve"> and silver substances</w:t>
      </w:r>
      <w:r w:rsidR="00D50CF9">
        <w:rPr>
          <w:lang w:val="en-GB"/>
        </w:rPr>
        <w:t>. EPMF will continue to demand that gaps in the data be filled through rigorous studies such as</w:t>
      </w:r>
      <w:r w:rsidR="002C12E0">
        <w:rPr>
          <w:lang w:val="en-GB"/>
        </w:rPr>
        <w:t xml:space="preserve"> the </w:t>
      </w:r>
      <w:r w:rsidR="000978EC">
        <w:t>Extended One-Generation Reproductive Toxicity Study (EOGRTS; OECD TG 443)</w:t>
      </w:r>
      <w:r w:rsidR="00D50CF9">
        <w:t xml:space="preserve">, </w:t>
      </w:r>
      <w:r w:rsidR="002C12E0">
        <w:rPr>
          <w:lang w:val="en-GB"/>
        </w:rPr>
        <w:t xml:space="preserve">a testing proposal </w:t>
      </w:r>
      <w:r w:rsidR="00D50CF9">
        <w:rPr>
          <w:lang w:val="en-GB"/>
        </w:rPr>
        <w:t xml:space="preserve">currently in the </w:t>
      </w:r>
      <w:r w:rsidR="002C12E0">
        <w:rPr>
          <w:lang w:val="en-GB"/>
        </w:rPr>
        <w:t>ECHA</w:t>
      </w:r>
      <w:r w:rsidR="00D50CF9">
        <w:rPr>
          <w:lang w:val="en-GB"/>
        </w:rPr>
        <w:t xml:space="preserve"> review process</w:t>
      </w:r>
      <w:r w:rsidR="002C12E0">
        <w:rPr>
          <w:lang w:val="en-GB"/>
        </w:rPr>
        <w:t xml:space="preserve">. </w:t>
      </w:r>
    </w:p>
    <w:p w14:paraId="066303BB" w14:textId="77777777" w:rsidR="004C18C5" w:rsidRDefault="004C18C5" w:rsidP="004C18C5">
      <w:pPr>
        <w:pStyle w:val="EPMFSubTitleSmall"/>
        <w:jc w:val="both"/>
        <w:rPr>
          <w:lang w:val="en-GB"/>
        </w:rPr>
      </w:pPr>
      <w:r>
        <w:rPr>
          <w:lang w:val="en-GB"/>
        </w:rPr>
        <w:t xml:space="preserve">What </w:t>
      </w:r>
      <w:r w:rsidR="00D50CF9">
        <w:rPr>
          <w:lang w:val="en-GB"/>
        </w:rPr>
        <w:t>w</w:t>
      </w:r>
      <w:r>
        <w:rPr>
          <w:lang w:val="en-GB"/>
        </w:rPr>
        <w:t xml:space="preserve">ould be the impact of the CLH proposal on the </w:t>
      </w:r>
      <w:r w:rsidR="00AF2694">
        <w:rPr>
          <w:lang w:val="en-GB"/>
        </w:rPr>
        <w:t xml:space="preserve">EU </w:t>
      </w:r>
      <w:r>
        <w:rPr>
          <w:lang w:val="en-GB"/>
        </w:rPr>
        <w:t xml:space="preserve">silver market? </w:t>
      </w:r>
    </w:p>
    <w:p w14:paraId="1F92CCE4" w14:textId="77777777" w:rsidR="001509B2" w:rsidRDefault="00AF2694" w:rsidP="00AF2694">
      <w:pPr>
        <w:spacing w:after="120" w:line="300" w:lineRule="atLeast"/>
        <w:jc w:val="both"/>
        <w:rPr>
          <w:lang w:val="en-GB"/>
        </w:rPr>
      </w:pPr>
      <w:r>
        <w:rPr>
          <w:lang w:val="en-GB"/>
        </w:rPr>
        <w:t xml:space="preserve">The </w:t>
      </w:r>
      <w:r w:rsidR="00D50CF9">
        <w:rPr>
          <w:lang w:val="en-GB"/>
        </w:rPr>
        <w:t xml:space="preserve">EU silver market would be gravely </w:t>
      </w:r>
      <w:r>
        <w:rPr>
          <w:lang w:val="en-GB"/>
        </w:rPr>
        <w:t>impact</w:t>
      </w:r>
      <w:r w:rsidR="00D50CF9">
        <w:rPr>
          <w:lang w:val="en-GB"/>
        </w:rPr>
        <w:t>ed. Approximately 60% of silver in the EU market is owned by Euro</w:t>
      </w:r>
      <w:r w:rsidR="00F61251">
        <w:rPr>
          <w:lang w:val="en-GB"/>
        </w:rPr>
        <w:t>p</w:t>
      </w:r>
      <w:r w:rsidR="00D50CF9">
        <w:rPr>
          <w:lang w:val="en-GB"/>
        </w:rPr>
        <w:t xml:space="preserve">ean </w:t>
      </w:r>
      <w:r w:rsidR="00F61251">
        <w:rPr>
          <w:lang w:val="en-GB"/>
        </w:rPr>
        <w:t>C</w:t>
      </w:r>
      <w:r w:rsidR="00D50CF9">
        <w:rPr>
          <w:lang w:val="en-GB"/>
        </w:rPr>
        <w:t xml:space="preserve">itizens in the form of jewellery, silverware, and financial investments </w:t>
      </w:r>
      <w:r w:rsidR="001509B2">
        <w:rPr>
          <w:lang w:val="en-GB"/>
        </w:rPr>
        <w:t xml:space="preserve">based on a data gathering </w:t>
      </w:r>
      <w:r w:rsidR="001509B2" w:rsidRPr="00A234A2">
        <w:rPr>
          <w:lang w:val="en-GB"/>
        </w:rPr>
        <w:t>exercise conducted at EPMF</w:t>
      </w:r>
      <w:r w:rsidR="00D50CF9" w:rsidRPr="009D3E2A">
        <w:rPr>
          <w:lang w:val="en-GB"/>
        </w:rPr>
        <w:t>.</w:t>
      </w:r>
      <w:r w:rsidR="001509B2">
        <w:rPr>
          <w:lang w:val="en-GB"/>
        </w:rPr>
        <w:t xml:space="preserve"> </w:t>
      </w:r>
    </w:p>
    <w:p w14:paraId="5DCB03E5" w14:textId="68D1CFF2" w:rsidR="009C131E" w:rsidRDefault="00AF2694" w:rsidP="00AF2694">
      <w:pPr>
        <w:spacing w:after="120" w:line="300" w:lineRule="atLeast"/>
        <w:jc w:val="both"/>
        <w:rPr>
          <w:lang w:val="en-GB"/>
        </w:rPr>
      </w:pPr>
      <w:r>
        <w:rPr>
          <w:lang w:val="en-GB"/>
        </w:rPr>
        <w:t xml:space="preserve">It is important to highlight that </w:t>
      </w:r>
      <w:r w:rsidR="009C131E">
        <w:rPr>
          <w:lang w:val="en-GB"/>
        </w:rPr>
        <w:t>Europe</w:t>
      </w:r>
      <w:r w:rsidRPr="001C09C8">
        <w:rPr>
          <w:lang w:val="en-GB"/>
        </w:rPr>
        <w:t xml:space="preserve"> remains an important </w:t>
      </w:r>
      <w:r w:rsidR="00F61251">
        <w:rPr>
          <w:lang w:val="en-GB"/>
        </w:rPr>
        <w:t>global</w:t>
      </w:r>
      <w:r w:rsidRPr="001C09C8">
        <w:rPr>
          <w:lang w:val="en-GB"/>
        </w:rPr>
        <w:t xml:space="preserve"> player in silver as a commodity: </w:t>
      </w:r>
      <w:r w:rsidR="009C131E">
        <w:rPr>
          <w:lang w:val="en-GB"/>
        </w:rPr>
        <w:t>Europe</w:t>
      </w:r>
      <w:r w:rsidRPr="001C09C8">
        <w:rPr>
          <w:lang w:val="en-GB"/>
        </w:rPr>
        <w:t xml:space="preserve"> represents </w:t>
      </w:r>
      <w:r w:rsidR="00F61251">
        <w:rPr>
          <w:lang w:val="en-GB"/>
        </w:rPr>
        <w:t>37</w:t>
      </w:r>
      <w:r w:rsidR="00F61251" w:rsidRPr="001C09C8">
        <w:rPr>
          <w:lang w:val="en-GB"/>
        </w:rPr>
        <w:t>% of the silver rec</w:t>
      </w:r>
      <w:r w:rsidR="00F61251">
        <w:rPr>
          <w:lang w:val="en-GB"/>
        </w:rPr>
        <w:t>ycling</w:t>
      </w:r>
      <w:r w:rsidR="00F61251" w:rsidRPr="001C09C8">
        <w:rPr>
          <w:lang w:val="en-GB"/>
        </w:rPr>
        <w:t xml:space="preserve"> worldwide</w:t>
      </w:r>
      <w:r w:rsidR="00F61251">
        <w:rPr>
          <w:rStyle w:val="FootnoteReference"/>
          <w:lang w:val="en-GB"/>
        </w:rPr>
        <w:footnoteReference w:id="1"/>
      </w:r>
      <w:r w:rsidR="00F61251">
        <w:rPr>
          <w:lang w:val="en-GB"/>
        </w:rPr>
        <w:t xml:space="preserve"> and </w:t>
      </w:r>
      <w:r w:rsidR="001509B2">
        <w:rPr>
          <w:lang w:val="en-GB"/>
        </w:rPr>
        <w:t>13</w:t>
      </w:r>
      <w:r w:rsidRPr="001C09C8">
        <w:rPr>
          <w:lang w:val="en-GB"/>
        </w:rPr>
        <w:t>% of the silver mine production worldwide</w:t>
      </w:r>
      <w:r w:rsidR="001509B2">
        <w:rPr>
          <w:rStyle w:val="FootnoteReference"/>
          <w:lang w:val="en-GB"/>
        </w:rPr>
        <w:footnoteReference w:id="2"/>
      </w:r>
      <w:r w:rsidR="00F61251">
        <w:rPr>
          <w:lang w:val="en-GB"/>
        </w:rPr>
        <w:t xml:space="preserve">.  </w:t>
      </w:r>
    </w:p>
    <w:p w14:paraId="50614374" w14:textId="36C7D39A" w:rsidR="00AF2694" w:rsidRPr="001C09C8" w:rsidRDefault="00F61251" w:rsidP="00AF2694">
      <w:pPr>
        <w:spacing w:after="120" w:line="300" w:lineRule="atLeast"/>
        <w:jc w:val="both"/>
        <w:rPr>
          <w:lang w:val="en-GB"/>
        </w:rPr>
      </w:pPr>
      <w:r w:rsidRPr="001C09C8">
        <w:rPr>
          <w:lang w:val="en-GB"/>
        </w:rPr>
        <w:t>EU competitiveness</w:t>
      </w:r>
      <w:r w:rsidR="009D3E2A">
        <w:rPr>
          <w:lang w:val="en-GB"/>
        </w:rPr>
        <w:t>, Circular Economy targets</w:t>
      </w:r>
      <w:r>
        <w:rPr>
          <w:lang w:val="en-GB"/>
        </w:rPr>
        <w:t xml:space="preserve"> and climate change commitments would be severely hampered.</w:t>
      </w:r>
      <w:r w:rsidR="00AF2694" w:rsidRPr="001C09C8">
        <w:rPr>
          <w:lang w:val="en-GB"/>
        </w:rPr>
        <w:t xml:space="preserve"> </w:t>
      </w:r>
      <w:r w:rsidR="009D3E2A">
        <w:rPr>
          <w:lang w:val="en-GB"/>
        </w:rPr>
        <w:t>Indeed, silver</w:t>
      </w:r>
      <w:r>
        <w:rPr>
          <w:lang w:val="en-GB"/>
        </w:rPr>
        <w:t>, due to its unique properties for low contact resistance and high electrical and thermal conductivity,</w:t>
      </w:r>
      <w:r w:rsidR="009C131E">
        <w:rPr>
          <w:lang w:val="en-GB"/>
        </w:rPr>
        <w:t xml:space="preserve"> also </w:t>
      </w:r>
      <w:r>
        <w:rPr>
          <w:lang w:val="en-GB"/>
        </w:rPr>
        <w:t xml:space="preserve">plays a </w:t>
      </w:r>
      <w:r w:rsidR="009C131E">
        <w:rPr>
          <w:lang w:val="en-GB"/>
        </w:rPr>
        <w:t xml:space="preserve">key role in </w:t>
      </w:r>
      <w:r>
        <w:rPr>
          <w:lang w:val="en-GB"/>
        </w:rPr>
        <w:t>G</w:t>
      </w:r>
      <w:r w:rsidR="009C131E">
        <w:rPr>
          <w:lang w:val="en-GB"/>
        </w:rPr>
        <w:t xml:space="preserve">reen </w:t>
      </w:r>
      <w:r>
        <w:rPr>
          <w:lang w:val="en-GB"/>
        </w:rPr>
        <w:t>T</w:t>
      </w:r>
      <w:r w:rsidR="009C131E">
        <w:rPr>
          <w:lang w:val="en-GB"/>
        </w:rPr>
        <w:t>echnolog</w:t>
      </w:r>
      <w:r>
        <w:rPr>
          <w:lang w:val="en-GB"/>
        </w:rPr>
        <w:t>ies</w:t>
      </w:r>
      <w:r w:rsidR="009C131E">
        <w:rPr>
          <w:lang w:val="en-GB"/>
        </w:rPr>
        <w:t xml:space="preserve"> (solar power, fast chargers</w:t>
      </w:r>
      <w:r>
        <w:rPr>
          <w:lang w:val="en-GB"/>
        </w:rPr>
        <w:t>,</w:t>
      </w:r>
      <w:r w:rsidR="009C131E">
        <w:rPr>
          <w:lang w:val="en-GB"/>
        </w:rPr>
        <w:t xml:space="preserve"> and in-road chargers)</w:t>
      </w:r>
      <w:r w:rsidR="009C131E">
        <w:rPr>
          <w:rStyle w:val="FootnoteReference"/>
          <w:lang w:val="en-GB"/>
        </w:rPr>
        <w:footnoteReference w:id="3"/>
      </w:r>
      <w:r w:rsidR="009C131E">
        <w:rPr>
          <w:lang w:val="en-GB"/>
        </w:rPr>
        <w:t>.</w:t>
      </w:r>
    </w:p>
    <w:p w14:paraId="3E659C1F" w14:textId="77777777" w:rsidR="007B0CAB" w:rsidRDefault="007B0CAB" w:rsidP="007B0CAB">
      <w:pPr>
        <w:rPr>
          <w:lang w:val="en-GB"/>
        </w:rPr>
      </w:pPr>
    </w:p>
    <w:p w14:paraId="5B232914" w14:textId="77777777" w:rsidR="004C18C5" w:rsidRDefault="007B0CAB" w:rsidP="004C18C5">
      <w:pPr>
        <w:pStyle w:val="EPMFSubTitleSmall"/>
        <w:jc w:val="both"/>
        <w:rPr>
          <w:lang w:val="en-GB"/>
        </w:rPr>
      </w:pPr>
      <w:r>
        <w:rPr>
          <w:lang w:val="en-GB"/>
        </w:rPr>
        <w:t xml:space="preserve">What is the impact of the CLH proposal on the ongoing Testing Proposal (EOGRTs) on silver and silver compounds under review by ECHA? </w:t>
      </w:r>
    </w:p>
    <w:bookmarkEnd w:id="0"/>
    <w:p w14:paraId="6EEBB99B" w14:textId="757CC2E6" w:rsidR="000978EC" w:rsidRDefault="000978EC" w:rsidP="000978EC">
      <w:pPr>
        <w:jc w:val="both"/>
        <w:rPr>
          <w:lang w:val="en-GB"/>
        </w:rPr>
      </w:pPr>
      <w:r w:rsidRPr="001921E8">
        <w:rPr>
          <w:lang w:val="en-GB"/>
        </w:rPr>
        <w:t xml:space="preserve">In the context of REACH, EPMF identified a scientific data gap related to the reproductive toxicity potential of silver </w:t>
      </w:r>
      <w:r w:rsidR="00214737">
        <w:rPr>
          <w:lang w:val="en-GB"/>
        </w:rPr>
        <w:t xml:space="preserve">and silver substances </w:t>
      </w:r>
      <w:r w:rsidRPr="001921E8">
        <w:rPr>
          <w:lang w:val="en-GB"/>
        </w:rPr>
        <w:t>and addressed this in 2015 by submitting a testing proposal (TP) for an Extended One-Generation Reproductive Toxicity Study (EOGRTS; OECD TG 443) in the metallic silver REACH dossier. In April 2018, the TP was further updated to reflect the most recent scientific developments. The proposed test article in the TP is silver acetate, and outcome of this study is anticipated to be fully applicable to ionic silver irrespective of the donor silver substance forming this ion (i.e. to metallic silver and all silver compounds registered under REACH).</w:t>
      </w:r>
      <w:r w:rsidR="004D5D55" w:rsidRPr="001921E8">
        <w:rPr>
          <w:lang w:val="en-GB"/>
        </w:rPr>
        <w:t xml:space="preserve"> </w:t>
      </w:r>
      <w:r w:rsidRPr="001921E8">
        <w:rPr>
          <w:lang w:val="en-GB"/>
        </w:rPr>
        <w:t xml:space="preserve">On 18 December 2018, the Draft Decision </w:t>
      </w:r>
      <w:r w:rsidR="002744C8">
        <w:rPr>
          <w:lang w:val="en-GB"/>
        </w:rPr>
        <w:t xml:space="preserve">(DD) </w:t>
      </w:r>
      <w:r w:rsidRPr="001921E8">
        <w:rPr>
          <w:lang w:val="en-GB"/>
        </w:rPr>
        <w:t>on the EOGRTS has been issued with ECHA’s recommendation to accept the TP with the test design and test article as proposed by EPMF.</w:t>
      </w:r>
      <w:r w:rsidR="00214737">
        <w:rPr>
          <w:lang w:val="en-GB"/>
        </w:rPr>
        <w:t xml:space="preserve"> </w:t>
      </w:r>
      <w:r w:rsidR="00214737" w:rsidRPr="00214737">
        <w:rPr>
          <w:lang w:val="en-GB"/>
        </w:rPr>
        <w:t xml:space="preserve">The </w:t>
      </w:r>
      <w:r w:rsidR="002744C8">
        <w:rPr>
          <w:lang w:val="en-GB"/>
        </w:rPr>
        <w:t>DD</w:t>
      </w:r>
      <w:r w:rsidR="00214737" w:rsidRPr="00214737">
        <w:rPr>
          <w:lang w:val="en-GB"/>
        </w:rPr>
        <w:t xml:space="preserve"> is currently undergoing the usual process for TP </w:t>
      </w:r>
      <w:r w:rsidR="002744C8">
        <w:rPr>
          <w:lang w:val="en-GB"/>
        </w:rPr>
        <w:t>evaluation</w:t>
      </w:r>
      <w:r w:rsidR="00214737" w:rsidRPr="00214737">
        <w:rPr>
          <w:lang w:val="en-GB"/>
        </w:rPr>
        <w:t xml:space="preserve"> </w:t>
      </w:r>
      <w:r w:rsidR="002744C8">
        <w:rPr>
          <w:lang w:val="en-GB"/>
        </w:rPr>
        <w:t xml:space="preserve">(see process below) </w:t>
      </w:r>
      <w:r w:rsidR="00214737" w:rsidRPr="00214737">
        <w:rPr>
          <w:lang w:val="en-GB"/>
        </w:rPr>
        <w:t xml:space="preserve">and </w:t>
      </w:r>
      <w:r w:rsidR="00214737">
        <w:rPr>
          <w:lang w:val="en-GB"/>
        </w:rPr>
        <w:t>EPMF does not expect to receive the final decision before</w:t>
      </w:r>
      <w:r w:rsidR="00214737" w:rsidRPr="00214737">
        <w:rPr>
          <w:lang w:val="en-GB"/>
        </w:rPr>
        <w:t xml:space="preserve"> June 2019 at the earliest.</w:t>
      </w:r>
    </w:p>
    <w:p w14:paraId="1F5E0806" w14:textId="3F269865" w:rsidR="002744C8" w:rsidRDefault="002744C8" w:rsidP="000978EC">
      <w:pPr>
        <w:jc w:val="both"/>
        <w:rPr>
          <w:lang w:val="en-GB"/>
        </w:rPr>
      </w:pPr>
      <w:r w:rsidRPr="002744C8">
        <w:rPr>
          <w:noProof/>
          <w:lang w:val="en-US"/>
        </w:rPr>
        <w:drawing>
          <wp:inline distT="0" distB="0" distL="0" distR="0" wp14:anchorId="0AF5D1DC" wp14:editId="2710C60E">
            <wp:extent cx="5730875" cy="2635885"/>
            <wp:effectExtent l="0" t="0" r="0" b="5715"/>
            <wp:docPr id="2" name="Picture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1981D47-A749-E346-AEED-6D4654581F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1981D47-A749-E346-AEED-6D4654581F3B}"/>
                        </a:ext>
                      </a:extLst>
                    </pic:cNvPr>
                    <pic:cNvPicPr>
                      <a:picLocks noChangeAspect="1"/>
                    </pic:cNvPicPr>
                  </pic:nvPicPr>
                  <pic:blipFill rotWithShape="1">
                    <a:blip r:embed="rId9"/>
                    <a:srcRect t="2471"/>
                    <a:stretch/>
                  </pic:blipFill>
                  <pic:spPr>
                    <a:xfrm>
                      <a:off x="0" y="0"/>
                      <a:ext cx="5730875" cy="2635885"/>
                    </a:xfrm>
                    <a:prstGeom prst="rect">
                      <a:avLst/>
                    </a:prstGeom>
                  </pic:spPr>
                </pic:pic>
              </a:graphicData>
            </a:graphic>
          </wp:inline>
        </w:drawing>
      </w:r>
    </w:p>
    <w:p w14:paraId="46B13654" w14:textId="0DE07C52" w:rsidR="002744C8" w:rsidRPr="00A234A2" w:rsidRDefault="002744C8" w:rsidP="000978EC">
      <w:pPr>
        <w:jc w:val="both"/>
        <w:rPr>
          <w:i/>
          <w:lang w:val="en-GB"/>
        </w:rPr>
      </w:pPr>
      <w:r w:rsidRPr="00A234A2">
        <w:rPr>
          <w:i/>
          <w:lang w:val="en-GB"/>
        </w:rPr>
        <w:t>Figure from ECHA practical guide ‘How to act in dossier evaluation’, Jan 2019</w:t>
      </w:r>
    </w:p>
    <w:p w14:paraId="643C6B3D" w14:textId="77777777" w:rsidR="004D5D55" w:rsidRPr="001921E8" w:rsidRDefault="000978EC" w:rsidP="004D5D55">
      <w:pPr>
        <w:jc w:val="both"/>
        <w:rPr>
          <w:lang w:val="en-GB"/>
        </w:rPr>
      </w:pPr>
      <w:r w:rsidRPr="001921E8">
        <w:rPr>
          <w:lang w:val="en-GB"/>
        </w:rPr>
        <w:t xml:space="preserve">The outcome of the EPMF proposed EOGRTS could have an impact on the classification of the Silver Containing Active Substances (SCAS) registered under the BPR and under review by Sweden (Kemi). </w:t>
      </w:r>
    </w:p>
    <w:p w14:paraId="3001B989" w14:textId="6D5377FC" w:rsidR="004C18C5" w:rsidRPr="001921E8" w:rsidRDefault="00F61251" w:rsidP="00A234A2">
      <w:pPr>
        <w:jc w:val="both"/>
        <w:rPr>
          <w:lang w:val="en-GB"/>
        </w:rPr>
      </w:pPr>
      <w:r>
        <w:rPr>
          <w:lang w:val="en-GB"/>
        </w:rPr>
        <w:t>I</w:t>
      </w:r>
      <w:r w:rsidRPr="001921E8">
        <w:rPr>
          <w:lang w:val="en-GB"/>
        </w:rPr>
        <w:t>f the two processes are not aligned</w:t>
      </w:r>
      <w:r>
        <w:rPr>
          <w:lang w:val="en-GB"/>
        </w:rPr>
        <w:t xml:space="preserve">, a </w:t>
      </w:r>
      <w:r w:rsidR="000978EC" w:rsidRPr="001921E8">
        <w:rPr>
          <w:lang w:val="en-GB"/>
        </w:rPr>
        <w:t xml:space="preserve">CLH proposal for </w:t>
      </w:r>
      <w:r w:rsidR="004D5D55" w:rsidRPr="001921E8">
        <w:rPr>
          <w:lang w:val="en-GB"/>
        </w:rPr>
        <w:t>silver</w:t>
      </w:r>
      <w:r w:rsidR="000978EC" w:rsidRPr="001921E8">
        <w:rPr>
          <w:lang w:val="en-GB"/>
        </w:rPr>
        <w:t xml:space="preserve"> </w:t>
      </w:r>
      <w:r>
        <w:rPr>
          <w:lang w:val="en-GB"/>
        </w:rPr>
        <w:t>could</w:t>
      </w:r>
      <w:r w:rsidR="000978EC" w:rsidRPr="001921E8">
        <w:rPr>
          <w:lang w:val="en-GB"/>
        </w:rPr>
        <w:t xml:space="preserve"> </w:t>
      </w:r>
      <w:r w:rsidR="004D5D55" w:rsidRPr="001921E8">
        <w:rPr>
          <w:lang w:val="en-GB"/>
        </w:rPr>
        <w:t xml:space="preserve">have a negative </w:t>
      </w:r>
      <w:r w:rsidR="000978EC" w:rsidRPr="001921E8">
        <w:rPr>
          <w:lang w:val="en-GB"/>
        </w:rPr>
        <w:t xml:space="preserve">impact on the EPMF REACH dossiers and on </w:t>
      </w:r>
      <w:r w:rsidR="004D5D55" w:rsidRPr="00A234A2">
        <w:rPr>
          <w:lang w:val="en-GB"/>
        </w:rPr>
        <w:t xml:space="preserve">the ongoing work </w:t>
      </w:r>
      <w:r w:rsidRPr="00A234A2">
        <w:rPr>
          <w:lang w:val="en-GB"/>
        </w:rPr>
        <w:t>to gather scientifically</w:t>
      </w:r>
      <w:r w:rsidR="0095543B" w:rsidRPr="00A234A2">
        <w:rPr>
          <w:lang w:val="en-GB"/>
        </w:rPr>
        <w:t>-</w:t>
      </w:r>
      <w:r w:rsidRPr="00A234A2">
        <w:rPr>
          <w:lang w:val="en-GB"/>
        </w:rPr>
        <w:t xml:space="preserve">sound data </w:t>
      </w:r>
      <w:r w:rsidR="0095543B" w:rsidRPr="00A234A2">
        <w:rPr>
          <w:lang w:val="en-GB"/>
        </w:rPr>
        <w:t>through</w:t>
      </w:r>
      <w:r w:rsidR="004D5D55" w:rsidRPr="00A234A2">
        <w:rPr>
          <w:lang w:val="en-GB"/>
        </w:rPr>
        <w:t xml:space="preserve"> the EOGRTS</w:t>
      </w:r>
      <w:r w:rsidR="0095543B" w:rsidRPr="00A234A2">
        <w:rPr>
          <w:lang w:val="en-GB"/>
        </w:rPr>
        <w:t>.</w:t>
      </w:r>
      <w:r w:rsidR="004D5D55" w:rsidRPr="001921E8">
        <w:rPr>
          <w:lang w:val="en-GB"/>
        </w:rPr>
        <w:t xml:space="preserve"> </w:t>
      </w:r>
    </w:p>
    <w:sectPr w:rsidR="004C18C5" w:rsidRPr="001921E8" w:rsidSect="002C1DC6">
      <w:headerReference w:type="default" r:id="rId10"/>
      <w:footerReference w:type="default" r:id="rId11"/>
      <w:type w:val="continuous"/>
      <w:pgSz w:w="11905" w:h="16837"/>
      <w:pgMar w:top="1440" w:right="1440" w:bottom="1440" w:left="1440" w:header="708" w:footer="43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29B975" w16cid:durableId="203B327A"/>
  <w16cid:commentId w16cid:paraId="340F544F" w16cid:durableId="203B3F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1B86E" w14:textId="77777777" w:rsidR="00CD4A90" w:rsidRDefault="00CD4A90" w:rsidP="009A3433">
      <w:pPr>
        <w:spacing w:after="0" w:line="240" w:lineRule="auto"/>
      </w:pPr>
      <w:r>
        <w:separator/>
      </w:r>
    </w:p>
  </w:endnote>
  <w:endnote w:type="continuationSeparator" w:id="0">
    <w:p w14:paraId="1408D2CD" w14:textId="77777777" w:rsidR="00CD4A90" w:rsidRDefault="00CD4A90" w:rsidP="009A3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BoldItalic">
    <w:altName w:val="Calibri"/>
    <w:charset w:val="00"/>
    <w:family w:val="swiss"/>
    <w:pitch w:val="variable"/>
    <w:sig w:usb0="00000001"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33A8C" w14:textId="77777777" w:rsidR="00E01756" w:rsidRDefault="00E01756" w:rsidP="003704E2">
    <w:pPr>
      <w:spacing w:after="0"/>
      <w:ind w:left="720" w:right="-1040" w:hanging="720"/>
      <w:jc w:val="right"/>
      <w:rPr>
        <w:b/>
        <w:lang w:val="en-GB"/>
      </w:rPr>
    </w:pPr>
  </w:p>
  <w:p w14:paraId="6E29D84F" w14:textId="77777777" w:rsidR="00635040" w:rsidRDefault="00635040" w:rsidP="003704E2">
    <w:pPr>
      <w:spacing w:after="0"/>
      <w:ind w:left="720" w:right="-1040" w:hanging="720"/>
      <w:jc w:val="right"/>
      <w:rPr>
        <w:b/>
        <w:lang w:val="en-GB"/>
      </w:rPr>
    </w:pPr>
  </w:p>
  <w:p w14:paraId="565C4B87" w14:textId="77777777" w:rsidR="006C7A33" w:rsidRDefault="0012076F" w:rsidP="003704E2">
    <w:pPr>
      <w:spacing w:after="0"/>
      <w:ind w:left="720" w:right="-1040" w:hanging="720"/>
      <w:jc w:val="right"/>
      <w:rPr>
        <w:i/>
        <w:lang w:val="en-GB"/>
      </w:rPr>
    </w:pPr>
    <w:r>
      <w:rPr>
        <w:b/>
        <w:lang w:val="en-GB"/>
      </w:rPr>
      <w:t>European Precious Metals Federation</w:t>
    </w:r>
    <w:r w:rsidR="00635040">
      <w:rPr>
        <w:b/>
        <w:lang w:val="en-GB"/>
      </w:rPr>
      <w:t xml:space="preserve"> </w:t>
    </w:r>
    <w:r w:rsidR="006C7A33">
      <w:rPr>
        <w:b/>
        <w:lang w:val="en-GB"/>
      </w:rPr>
      <w:br/>
    </w:r>
    <w:r w:rsidR="00E01756">
      <w:rPr>
        <w:b/>
        <w:noProof/>
        <w:lang w:val="en-US"/>
      </w:rPr>
      <w:drawing>
        <wp:anchor distT="0" distB="0" distL="114300" distR="114300" simplePos="0" relativeHeight="251660288" behindDoc="1" locked="0" layoutInCell="1" allowOverlap="1" wp14:anchorId="0B4DDDAD" wp14:editId="453DE042">
          <wp:simplePos x="0" y="0"/>
          <wp:positionH relativeFrom="page">
            <wp:align>left</wp:align>
          </wp:positionH>
          <wp:positionV relativeFrom="page">
            <wp:align>bottom</wp:align>
          </wp:positionV>
          <wp:extent cx="7545600" cy="1468800"/>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tical Footer CORRECT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5600" cy="1468800"/>
                  </a:xfrm>
                  <a:prstGeom prst="rect">
                    <a:avLst/>
                  </a:prstGeom>
                </pic:spPr>
              </pic:pic>
            </a:graphicData>
          </a:graphic>
          <wp14:sizeRelH relativeFrom="margin">
            <wp14:pctWidth>0</wp14:pctWidth>
          </wp14:sizeRelH>
          <wp14:sizeRelV relativeFrom="margin">
            <wp14:pctHeight>0</wp14:pctHeight>
          </wp14:sizeRelV>
        </wp:anchor>
      </w:drawing>
    </w:r>
    <w:r w:rsidR="006C7A33" w:rsidRPr="004E4294">
      <w:rPr>
        <w:b/>
        <w:lang w:val="en-GB"/>
      </w:rPr>
      <w:t xml:space="preserve">Secretariat: </w:t>
    </w:r>
    <w:r w:rsidR="00635040">
      <w:rPr>
        <w:i/>
        <w:lang w:val="en-GB"/>
      </w:rPr>
      <w:t xml:space="preserve">Katrien Arijs (EPMF)/ </w:t>
    </w:r>
    <w:r w:rsidR="006C7A33">
      <w:rPr>
        <w:i/>
        <w:lang w:val="en-GB"/>
      </w:rPr>
      <w:t>France Capon</w:t>
    </w:r>
    <w:r w:rsidR="006C7A33" w:rsidRPr="00931BD3">
      <w:rPr>
        <w:i/>
        <w:lang w:val="en-GB"/>
      </w:rPr>
      <w:t xml:space="preserve"> </w:t>
    </w:r>
    <w:r w:rsidR="006C7A33">
      <w:rPr>
        <w:i/>
        <w:lang w:val="en-GB"/>
      </w:rPr>
      <w:t>(</w:t>
    </w:r>
    <w:r w:rsidR="006C7A33" w:rsidRPr="00931BD3">
      <w:rPr>
        <w:i/>
        <w:lang w:val="en-GB"/>
      </w:rPr>
      <w:t>EPMF</w:t>
    </w:r>
    <w:r w:rsidR="006C7A33">
      <w:rPr>
        <w:i/>
        <w:lang w:val="en-GB"/>
      </w:rPr>
      <w:t>)</w:t>
    </w:r>
  </w:p>
  <w:p w14:paraId="2DCA6B90" w14:textId="77777777" w:rsidR="003704E2" w:rsidRPr="00110946" w:rsidRDefault="003704E2" w:rsidP="003704E2">
    <w:pPr>
      <w:pStyle w:val="Footer"/>
      <w:framePr w:w="542" w:h="365" w:hRule="exact" w:wrap="none" w:vAnchor="text" w:hAnchor="page" w:x="442" w:y="-3"/>
      <w:jc w:val="right"/>
      <w:rPr>
        <w:rStyle w:val="PageNumber"/>
        <w:b/>
      </w:rPr>
    </w:pPr>
    <w:r>
      <w:rPr>
        <w:rStyle w:val="PageNumber"/>
        <w:b/>
      </w:rPr>
      <w:t>p</w:t>
    </w:r>
    <w:r w:rsidRPr="00110946">
      <w:rPr>
        <w:rStyle w:val="PageNumber"/>
        <w:b/>
      </w:rPr>
      <w:fldChar w:fldCharType="begin"/>
    </w:r>
    <w:r w:rsidRPr="00110946">
      <w:rPr>
        <w:rStyle w:val="PageNumber"/>
        <w:b/>
      </w:rPr>
      <w:instrText xml:space="preserve">PAGE  </w:instrText>
    </w:r>
    <w:r w:rsidRPr="00110946">
      <w:rPr>
        <w:rStyle w:val="PageNumber"/>
        <w:b/>
      </w:rPr>
      <w:fldChar w:fldCharType="separate"/>
    </w:r>
    <w:r w:rsidR="002153E2">
      <w:rPr>
        <w:rStyle w:val="PageNumber"/>
        <w:b/>
        <w:noProof/>
      </w:rPr>
      <w:t>4</w:t>
    </w:r>
    <w:r w:rsidRPr="00110946">
      <w:rPr>
        <w:rStyle w:val="PageNumber"/>
        <w:b/>
      </w:rPr>
      <w:fldChar w:fldCharType="end"/>
    </w:r>
  </w:p>
  <w:p w14:paraId="498D2DE8" w14:textId="77777777" w:rsidR="006C7A33" w:rsidRDefault="00285DA5" w:rsidP="003704E2">
    <w:pPr>
      <w:pStyle w:val="Footer"/>
      <w:ind w:left="720" w:right="-1040" w:hanging="720"/>
      <w:jc w:val="right"/>
    </w:pPr>
    <w:r>
      <w:rPr>
        <w:lang w:val="en-GB"/>
      </w:rPr>
      <w:t>7 March 2019</w:t>
    </w:r>
    <w:r w:rsidR="00635040">
      <w:rPr>
        <w:lang w:val="en-GB"/>
      </w:rPr>
      <w:t xml:space="preserve"> </w:t>
    </w:r>
    <w:r w:rsidR="006C7A33">
      <w:rPr>
        <w:lang w:val="en-GB"/>
      </w:rPr>
      <w:t xml:space="preserve">| </w:t>
    </w:r>
    <w:r w:rsidR="00635040">
      <w:rPr>
        <w:i/>
        <w:lang w:val="en-GB"/>
      </w:rPr>
      <w:t xml:space="preserve">Silver </w:t>
    </w:r>
    <w:r>
      <w:rPr>
        <w:i/>
        <w:lang w:val="en-GB"/>
      </w:rPr>
      <w:t xml:space="preserve">CLH proposal </w:t>
    </w:r>
    <w:r w:rsidR="006F0313">
      <w:rPr>
        <w:i/>
        <w:lang w:val="en-GB"/>
      </w:rPr>
      <w:t>–</w:t>
    </w:r>
    <w:r>
      <w:rPr>
        <w:i/>
        <w:lang w:val="en-GB"/>
      </w:rPr>
      <w:t xml:space="preserve"> </w:t>
    </w:r>
    <w:r w:rsidR="006F0313">
      <w:rPr>
        <w:i/>
        <w:lang w:val="en-GB"/>
      </w:rPr>
      <w:t>Q&amp;A</w:t>
    </w:r>
  </w:p>
  <w:p w14:paraId="4826F8C5" w14:textId="77777777" w:rsidR="00210D2C" w:rsidRDefault="00635040" w:rsidP="00635040">
    <w:pPr>
      <w:tabs>
        <w:tab w:val="left" w:pos="3353"/>
      </w:tabs>
    </w:pPr>
    <w:r>
      <w:tab/>
    </w:r>
  </w:p>
  <w:p w14:paraId="1A226F17" w14:textId="77777777" w:rsidR="00210D2C" w:rsidRDefault="00210D2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20898" w14:textId="77777777" w:rsidR="00CD4A90" w:rsidRDefault="00CD4A90" w:rsidP="009A3433">
      <w:pPr>
        <w:spacing w:after="0" w:line="240" w:lineRule="auto"/>
      </w:pPr>
      <w:r>
        <w:separator/>
      </w:r>
    </w:p>
  </w:footnote>
  <w:footnote w:type="continuationSeparator" w:id="0">
    <w:p w14:paraId="2B375CE7" w14:textId="77777777" w:rsidR="00CD4A90" w:rsidRDefault="00CD4A90" w:rsidP="009A3433">
      <w:pPr>
        <w:spacing w:after="0" w:line="240" w:lineRule="auto"/>
      </w:pPr>
      <w:r>
        <w:continuationSeparator/>
      </w:r>
    </w:p>
  </w:footnote>
  <w:footnote w:id="1">
    <w:p w14:paraId="71D11678" w14:textId="77777777" w:rsidR="00F61251" w:rsidRPr="009C131E" w:rsidRDefault="00F61251" w:rsidP="00F61251">
      <w:pPr>
        <w:pStyle w:val="FootnoteText"/>
        <w:rPr>
          <w:lang w:val="en-US"/>
        </w:rPr>
      </w:pPr>
      <w:r>
        <w:rPr>
          <w:rStyle w:val="FootnoteReference"/>
        </w:rPr>
        <w:footnoteRef/>
      </w:r>
      <w:r>
        <w:t xml:space="preserve"> </w:t>
      </w:r>
      <w:r w:rsidRPr="00472067">
        <w:rPr>
          <w:i/>
          <w:lang w:val="en-US"/>
        </w:rPr>
        <w:t>World silver survey 2018</w:t>
      </w:r>
      <w:r w:rsidRPr="001509B2">
        <w:rPr>
          <w:lang w:val="en-US"/>
        </w:rPr>
        <w:t xml:space="preserve">, </w:t>
      </w:r>
      <w:r>
        <w:rPr>
          <w:lang w:val="en-US"/>
        </w:rPr>
        <w:t xml:space="preserve">Silver Institute, p. 43 </w:t>
      </w:r>
      <w:r>
        <w:t>(</w:t>
      </w:r>
      <w:r w:rsidRPr="009C131E">
        <w:t>https://www.silverinstitute.org/wp-content/uploads/2018/04/2018WorldSilverSurvey.pdf</w:t>
      </w:r>
      <w:r>
        <w:t>)</w:t>
      </w:r>
    </w:p>
  </w:footnote>
  <w:footnote w:id="2">
    <w:p w14:paraId="7D57F945" w14:textId="77777777" w:rsidR="001509B2" w:rsidRPr="001509B2" w:rsidRDefault="001509B2">
      <w:pPr>
        <w:pStyle w:val="FootnoteText"/>
        <w:rPr>
          <w:lang w:val="en-US"/>
        </w:rPr>
      </w:pPr>
      <w:r>
        <w:rPr>
          <w:rStyle w:val="FootnoteReference"/>
        </w:rPr>
        <w:footnoteRef/>
      </w:r>
      <w:r>
        <w:t xml:space="preserve"> </w:t>
      </w:r>
      <w:r w:rsidRPr="00472067">
        <w:rPr>
          <w:i/>
          <w:lang w:val="en-US"/>
        </w:rPr>
        <w:t>World silver survey 2018</w:t>
      </w:r>
      <w:r w:rsidR="009C131E" w:rsidRPr="00472067">
        <w:rPr>
          <w:i/>
          <w:lang w:val="en-US"/>
        </w:rPr>
        <w:t xml:space="preserve"> presentation</w:t>
      </w:r>
      <w:r w:rsidRPr="001509B2">
        <w:rPr>
          <w:lang w:val="en-US"/>
        </w:rPr>
        <w:t>, Silver Institute, April 2018</w:t>
      </w:r>
      <w:r>
        <w:rPr>
          <w:lang w:val="en-US"/>
        </w:rPr>
        <w:t>, p. 17 (</w:t>
      </w:r>
      <w:r w:rsidRPr="001509B2">
        <w:rPr>
          <w:lang w:val="en-US"/>
        </w:rPr>
        <w:t>https://www.silverinstitute.org/wp-content/uploads/2018/04/WSS18Presentation.pdf</w:t>
      </w:r>
      <w:r>
        <w:rPr>
          <w:lang w:val="en-US"/>
        </w:rPr>
        <w:t>)</w:t>
      </w:r>
    </w:p>
  </w:footnote>
  <w:footnote w:id="3">
    <w:p w14:paraId="3302B9B0" w14:textId="77777777" w:rsidR="009C131E" w:rsidRPr="00472067" w:rsidRDefault="009C131E">
      <w:pPr>
        <w:pStyle w:val="FootnoteText"/>
        <w:rPr>
          <w:lang w:val="en-US"/>
        </w:rPr>
      </w:pPr>
      <w:r>
        <w:rPr>
          <w:rStyle w:val="FootnoteReference"/>
        </w:rPr>
        <w:footnoteRef/>
      </w:r>
      <w:r>
        <w:t xml:space="preserve"> </w:t>
      </w:r>
      <w:r w:rsidRPr="00472067">
        <w:rPr>
          <w:lang w:val="en-US"/>
        </w:rPr>
        <w:t xml:space="preserve">See </w:t>
      </w:r>
      <w:r w:rsidR="00472067" w:rsidRPr="00472067">
        <w:rPr>
          <w:i/>
          <w:lang w:val="en-US"/>
        </w:rPr>
        <w:t>The Role of Silver in the Green Revolution</w:t>
      </w:r>
      <w:r w:rsidR="00472067">
        <w:rPr>
          <w:lang w:val="en-US"/>
        </w:rPr>
        <w:t>, Silver Institute, July 2018 (</w:t>
      </w:r>
      <w:r w:rsidR="00472067" w:rsidRPr="00472067">
        <w:rPr>
          <w:lang w:val="en-US"/>
        </w:rPr>
        <w:t>https://www.silverinstitute.org/wp-content/uploads/2018/07/Role_of_Silver_Green_Revolution_28Jun2018.pdf</w:t>
      </w:r>
      <w:r w:rsidR="00472067">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F3436" w14:textId="77777777" w:rsidR="00210D2C" w:rsidRDefault="0012076F" w:rsidP="00635040">
    <w:pPr>
      <w:pStyle w:val="Header"/>
    </w:pPr>
    <w:r>
      <w:rPr>
        <w:noProof/>
        <w:lang w:val="en-US"/>
      </w:rPr>
      <w:drawing>
        <wp:anchor distT="0" distB="180340" distL="114300" distR="114300" simplePos="0" relativeHeight="251662336" behindDoc="1" locked="0" layoutInCell="1" allowOverlap="1" wp14:anchorId="22C40A20" wp14:editId="55C540A5">
          <wp:simplePos x="0" y="0"/>
          <wp:positionH relativeFrom="page">
            <wp:posOffset>-31750</wp:posOffset>
          </wp:positionH>
          <wp:positionV relativeFrom="page">
            <wp:posOffset>4445</wp:posOffset>
          </wp:positionV>
          <wp:extent cx="7560000" cy="957600"/>
          <wp:effectExtent l="0" t="0" r="9525"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OP v2.png"/>
                  <pic:cNvPicPr/>
                </pic:nvPicPr>
                <pic:blipFill>
                  <a:blip r:embed="rId1">
                    <a:extLst>
                      <a:ext uri="{28A0092B-C50C-407E-A947-70E740481C1C}">
                        <a14:useLocalDpi xmlns:a14="http://schemas.microsoft.com/office/drawing/2010/main" val="0"/>
                      </a:ext>
                    </a:extLst>
                  </a:blip>
                  <a:stretch>
                    <a:fillRect/>
                  </a:stretch>
                </pic:blipFill>
                <pic:spPr>
                  <a:xfrm>
                    <a:off x="0" y="0"/>
                    <a:ext cx="7560000" cy="957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14419"/>
    <w:multiLevelType w:val="hybridMultilevel"/>
    <w:tmpl w:val="7DAEF802"/>
    <w:lvl w:ilvl="0" w:tplc="C25AA662">
      <w:start w:val="7"/>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51DDF"/>
    <w:multiLevelType w:val="hybridMultilevel"/>
    <w:tmpl w:val="0FA6A506"/>
    <w:lvl w:ilvl="0" w:tplc="633A240E">
      <w:start w:val="1"/>
      <w:numFmt w:val="decimal"/>
      <w:pStyle w:val="EPMFSubTitleLarge"/>
      <w:lvlText w:val="%1."/>
      <w:lvlJc w:val="left"/>
      <w:pPr>
        <w:ind w:left="-207" w:hanging="360"/>
      </w:pPr>
      <w:rPr>
        <w:rFonts w:hint="default"/>
      </w:rPr>
    </w:lvl>
    <w:lvl w:ilvl="1" w:tplc="04090019">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 w15:restartNumberingAfterBreak="0">
    <w:nsid w:val="1BCC29AE"/>
    <w:multiLevelType w:val="multilevel"/>
    <w:tmpl w:val="0409001F"/>
    <w:styleLink w:val="111111"/>
    <w:lvl w:ilvl="0">
      <w:start w:val="1"/>
      <w:numFmt w:val="decimal"/>
      <w:pStyle w:val="EPMFSubTitleSmal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9939ED"/>
    <w:multiLevelType w:val="multilevel"/>
    <w:tmpl w:val="6D4EA1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215605"/>
    <w:multiLevelType w:val="hybridMultilevel"/>
    <w:tmpl w:val="41F60C18"/>
    <w:lvl w:ilvl="0" w:tplc="8160CE7E">
      <w:numFmt w:val="bullet"/>
      <w:lvlText w:val="-"/>
      <w:lvlJc w:val="left"/>
      <w:pPr>
        <w:ind w:left="720" w:hanging="360"/>
      </w:pPr>
      <w:rPr>
        <w:rFonts w:ascii="Arial" w:eastAsiaTheme="minorHAnsi" w:hAnsi="Arial" w:cs="Aria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5" w15:restartNumberingAfterBreak="0">
    <w:nsid w:val="2A0D7500"/>
    <w:multiLevelType w:val="multilevel"/>
    <w:tmpl w:val="069E4742"/>
    <w:lvl w:ilvl="0">
      <w:start w:val="1"/>
      <w:numFmt w:val="decimal"/>
      <w:lvlText w:val="%1."/>
      <w:lvlJc w:val="left"/>
      <w:pPr>
        <w:ind w:left="433" w:hanging="360"/>
      </w:pPr>
    </w:lvl>
    <w:lvl w:ilvl="1">
      <w:start w:val="1"/>
      <w:numFmt w:val="decimal"/>
      <w:lvlText w:val="4.%2."/>
      <w:lvlJc w:val="left"/>
      <w:pPr>
        <w:ind w:left="865" w:hanging="432"/>
      </w:pPr>
    </w:lvl>
    <w:lvl w:ilvl="2">
      <w:start w:val="1"/>
      <w:numFmt w:val="decimal"/>
      <w:lvlText w:val="4.%2.%3."/>
      <w:lvlJc w:val="left"/>
      <w:pPr>
        <w:ind w:left="7026" w:hanging="504"/>
      </w:pPr>
    </w:lvl>
    <w:lvl w:ilvl="3">
      <w:start w:val="1"/>
      <w:numFmt w:val="decimal"/>
      <w:lvlText w:val="%1.%2.%3.%4."/>
      <w:lvlJc w:val="left"/>
      <w:pPr>
        <w:ind w:left="1801" w:hanging="648"/>
      </w:pPr>
    </w:lvl>
    <w:lvl w:ilvl="4">
      <w:start w:val="1"/>
      <w:numFmt w:val="decimal"/>
      <w:lvlText w:val="%1.%2.%3.%4.%5."/>
      <w:lvlJc w:val="left"/>
      <w:pPr>
        <w:ind w:left="2305" w:hanging="792"/>
      </w:pPr>
    </w:lvl>
    <w:lvl w:ilvl="5">
      <w:start w:val="1"/>
      <w:numFmt w:val="decimal"/>
      <w:lvlText w:val="%1.%2.%3.%4.%5.%6."/>
      <w:lvlJc w:val="left"/>
      <w:pPr>
        <w:ind w:left="2809" w:hanging="936"/>
      </w:pPr>
    </w:lvl>
    <w:lvl w:ilvl="6">
      <w:start w:val="1"/>
      <w:numFmt w:val="decimal"/>
      <w:lvlText w:val="%1.%2.%3.%4.%5.%6.%7."/>
      <w:lvlJc w:val="left"/>
      <w:pPr>
        <w:ind w:left="3313" w:hanging="1080"/>
      </w:pPr>
    </w:lvl>
    <w:lvl w:ilvl="7">
      <w:start w:val="1"/>
      <w:numFmt w:val="decimal"/>
      <w:lvlText w:val="%1.%2.%3.%4.%5.%6.%7.%8."/>
      <w:lvlJc w:val="left"/>
      <w:pPr>
        <w:ind w:left="3817" w:hanging="1224"/>
      </w:pPr>
    </w:lvl>
    <w:lvl w:ilvl="8">
      <w:start w:val="1"/>
      <w:numFmt w:val="decimal"/>
      <w:lvlText w:val="%1.%2.%3.%4.%5.%6.%7.%8.%9."/>
      <w:lvlJc w:val="left"/>
      <w:pPr>
        <w:ind w:left="4393" w:hanging="1440"/>
      </w:pPr>
    </w:lvl>
  </w:abstractNum>
  <w:abstractNum w:abstractNumId="6" w15:restartNumberingAfterBreak="0">
    <w:nsid w:val="5C696AD4"/>
    <w:multiLevelType w:val="multilevel"/>
    <w:tmpl w:val="0409001F"/>
    <w:numStyleLink w:val="111111"/>
  </w:abstractNum>
  <w:abstractNum w:abstractNumId="7" w15:restartNumberingAfterBreak="0">
    <w:nsid w:val="5E9D7CD6"/>
    <w:multiLevelType w:val="hybridMultilevel"/>
    <w:tmpl w:val="F83238B8"/>
    <w:lvl w:ilvl="0" w:tplc="65F04190">
      <w:start w:val="1"/>
      <w:numFmt w:val="bullet"/>
      <w:lvlText w:val="•"/>
      <w:lvlJc w:val="left"/>
      <w:pPr>
        <w:tabs>
          <w:tab w:val="num" w:pos="720"/>
        </w:tabs>
        <w:ind w:left="720" w:hanging="360"/>
      </w:pPr>
      <w:rPr>
        <w:rFonts w:ascii="Arial" w:hAnsi="Arial" w:hint="default"/>
      </w:rPr>
    </w:lvl>
    <w:lvl w:ilvl="1" w:tplc="BCF219BC">
      <w:start w:val="193"/>
      <w:numFmt w:val="bullet"/>
      <w:lvlText w:val="o"/>
      <w:lvlJc w:val="left"/>
      <w:pPr>
        <w:tabs>
          <w:tab w:val="num" w:pos="1440"/>
        </w:tabs>
        <w:ind w:left="1440" w:hanging="360"/>
      </w:pPr>
      <w:rPr>
        <w:rFonts w:ascii="Courier New" w:hAnsi="Courier New" w:hint="default"/>
      </w:rPr>
    </w:lvl>
    <w:lvl w:ilvl="2" w:tplc="8D184020" w:tentative="1">
      <w:start w:val="1"/>
      <w:numFmt w:val="bullet"/>
      <w:lvlText w:val="•"/>
      <w:lvlJc w:val="left"/>
      <w:pPr>
        <w:tabs>
          <w:tab w:val="num" w:pos="2160"/>
        </w:tabs>
        <w:ind w:left="2160" w:hanging="360"/>
      </w:pPr>
      <w:rPr>
        <w:rFonts w:ascii="Arial" w:hAnsi="Arial" w:hint="default"/>
      </w:rPr>
    </w:lvl>
    <w:lvl w:ilvl="3" w:tplc="7BD06B68" w:tentative="1">
      <w:start w:val="1"/>
      <w:numFmt w:val="bullet"/>
      <w:lvlText w:val="•"/>
      <w:lvlJc w:val="left"/>
      <w:pPr>
        <w:tabs>
          <w:tab w:val="num" w:pos="2880"/>
        </w:tabs>
        <w:ind w:left="2880" w:hanging="360"/>
      </w:pPr>
      <w:rPr>
        <w:rFonts w:ascii="Arial" w:hAnsi="Arial" w:hint="default"/>
      </w:rPr>
    </w:lvl>
    <w:lvl w:ilvl="4" w:tplc="FB26768A" w:tentative="1">
      <w:start w:val="1"/>
      <w:numFmt w:val="bullet"/>
      <w:lvlText w:val="•"/>
      <w:lvlJc w:val="left"/>
      <w:pPr>
        <w:tabs>
          <w:tab w:val="num" w:pos="3600"/>
        </w:tabs>
        <w:ind w:left="3600" w:hanging="360"/>
      </w:pPr>
      <w:rPr>
        <w:rFonts w:ascii="Arial" w:hAnsi="Arial" w:hint="default"/>
      </w:rPr>
    </w:lvl>
    <w:lvl w:ilvl="5" w:tplc="EF286CD4" w:tentative="1">
      <w:start w:val="1"/>
      <w:numFmt w:val="bullet"/>
      <w:lvlText w:val="•"/>
      <w:lvlJc w:val="left"/>
      <w:pPr>
        <w:tabs>
          <w:tab w:val="num" w:pos="4320"/>
        </w:tabs>
        <w:ind w:left="4320" w:hanging="360"/>
      </w:pPr>
      <w:rPr>
        <w:rFonts w:ascii="Arial" w:hAnsi="Arial" w:hint="default"/>
      </w:rPr>
    </w:lvl>
    <w:lvl w:ilvl="6" w:tplc="9FB21E18" w:tentative="1">
      <w:start w:val="1"/>
      <w:numFmt w:val="bullet"/>
      <w:lvlText w:val="•"/>
      <w:lvlJc w:val="left"/>
      <w:pPr>
        <w:tabs>
          <w:tab w:val="num" w:pos="5040"/>
        </w:tabs>
        <w:ind w:left="5040" w:hanging="360"/>
      </w:pPr>
      <w:rPr>
        <w:rFonts w:ascii="Arial" w:hAnsi="Arial" w:hint="default"/>
      </w:rPr>
    </w:lvl>
    <w:lvl w:ilvl="7" w:tplc="ED0690D8" w:tentative="1">
      <w:start w:val="1"/>
      <w:numFmt w:val="bullet"/>
      <w:lvlText w:val="•"/>
      <w:lvlJc w:val="left"/>
      <w:pPr>
        <w:tabs>
          <w:tab w:val="num" w:pos="5760"/>
        </w:tabs>
        <w:ind w:left="5760" w:hanging="360"/>
      </w:pPr>
      <w:rPr>
        <w:rFonts w:ascii="Arial" w:hAnsi="Arial" w:hint="default"/>
      </w:rPr>
    </w:lvl>
    <w:lvl w:ilvl="8" w:tplc="5716565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7B2A22"/>
    <w:multiLevelType w:val="hybridMultilevel"/>
    <w:tmpl w:val="4FB06F9A"/>
    <w:lvl w:ilvl="0" w:tplc="8160CE7E">
      <w:numFmt w:val="bullet"/>
      <w:lvlText w:val="-"/>
      <w:lvlJc w:val="left"/>
      <w:pPr>
        <w:ind w:left="720" w:hanging="360"/>
      </w:pPr>
      <w:rPr>
        <w:rFonts w:ascii="Arial" w:eastAsiaTheme="minorHAnsi" w:hAnsi="Arial" w:cs="Aria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9" w15:restartNumberingAfterBreak="0">
    <w:nsid w:val="78D60837"/>
    <w:multiLevelType w:val="hybridMultilevel"/>
    <w:tmpl w:val="A0126936"/>
    <w:lvl w:ilvl="0" w:tplc="04090011">
      <w:start w:val="1"/>
      <w:numFmt w:val="decimal"/>
      <w:lvlText w:val="%1)"/>
      <w:lvlJc w:val="left"/>
      <w:pPr>
        <w:ind w:left="720" w:hanging="360"/>
      </w:p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433"/>
    <w:rsid w:val="00035984"/>
    <w:rsid w:val="000417BC"/>
    <w:rsid w:val="000978EC"/>
    <w:rsid w:val="000A37EB"/>
    <w:rsid w:val="000A5FD8"/>
    <w:rsid w:val="000A6D2A"/>
    <w:rsid w:val="000B1556"/>
    <w:rsid w:val="000F094A"/>
    <w:rsid w:val="000F25E8"/>
    <w:rsid w:val="0012076F"/>
    <w:rsid w:val="00123D17"/>
    <w:rsid w:val="001509B2"/>
    <w:rsid w:val="00151B82"/>
    <w:rsid w:val="00166606"/>
    <w:rsid w:val="001679AA"/>
    <w:rsid w:val="001921E8"/>
    <w:rsid w:val="00197F90"/>
    <w:rsid w:val="001D0D17"/>
    <w:rsid w:val="001E2CA4"/>
    <w:rsid w:val="001F2991"/>
    <w:rsid w:val="00210D2C"/>
    <w:rsid w:val="00214737"/>
    <w:rsid w:val="002153E2"/>
    <w:rsid w:val="00263D14"/>
    <w:rsid w:val="002744C8"/>
    <w:rsid w:val="0027722D"/>
    <w:rsid w:val="00285DA5"/>
    <w:rsid w:val="002C0EFE"/>
    <w:rsid w:val="002C12E0"/>
    <w:rsid w:val="002C1DC6"/>
    <w:rsid w:val="002D0A9E"/>
    <w:rsid w:val="002D53BB"/>
    <w:rsid w:val="003704E2"/>
    <w:rsid w:val="00374EBE"/>
    <w:rsid w:val="00383B56"/>
    <w:rsid w:val="003F5526"/>
    <w:rsid w:val="00421027"/>
    <w:rsid w:val="00472067"/>
    <w:rsid w:val="004905F0"/>
    <w:rsid w:val="00494C57"/>
    <w:rsid w:val="004B3B08"/>
    <w:rsid w:val="004B50DA"/>
    <w:rsid w:val="004C053C"/>
    <w:rsid w:val="004C18C5"/>
    <w:rsid w:val="004D5D55"/>
    <w:rsid w:val="00501065"/>
    <w:rsid w:val="00533391"/>
    <w:rsid w:val="0054079F"/>
    <w:rsid w:val="00540A34"/>
    <w:rsid w:val="00577F35"/>
    <w:rsid w:val="00585BCA"/>
    <w:rsid w:val="005B0D67"/>
    <w:rsid w:val="005B0FEF"/>
    <w:rsid w:val="005B45D1"/>
    <w:rsid w:val="00635040"/>
    <w:rsid w:val="00643AAC"/>
    <w:rsid w:val="006B5F1F"/>
    <w:rsid w:val="006C7A33"/>
    <w:rsid w:val="006E3D8F"/>
    <w:rsid w:val="006F0313"/>
    <w:rsid w:val="007504FA"/>
    <w:rsid w:val="0076310D"/>
    <w:rsid w:val="00770097"/>
    <w:rsid w:val="00784AA3"/>
    <w:rsid w:val="007B0CAB"/>
    <w:rsid w:val="008229D6"/>
    <w:rsid w:val="0085774F"/>
    <w:rsid w:val="008D55D5"/>
    <w:rsid w:val="0092285C"/>
    <w:rsid w:val="00945BF3"/>
    <w:rsid w:val="0095543B"/>
    <w:rsid w:val="009647ED"/>
    <w:rsid w:val="009A298F"/>
    <w:rsid w:val="009A3433"/>
    <w:rsid w:val="009C131E"/>
    <w:rsid w:val="009D3E2A"/>
    <w:rsid w:val="00A150B5"/>
    <w:rsid w:val="00A234A2"/>
    <w:rsid w:val="00A45867"/>
    <w:rsid w:val="00A53962"/>
    <w:rsid w:val="00A8715F"/>
    <w:rsid w:val="00AD5C3C"/>
    <w:rsid w:val="00AF2694"/>
    <w:rsid w:val="00AF488F"/>
    <w:rsid w:val="00B13097"/>
    <w:rsid w:val="00B64BD1"/>
    <w:rsid w:val="00B9782C"/>
    <w:rsid w:val="00BA4F55"/>
    <w:rsid w:val="00BB6A28"/>
    <w:rsid w:val="00BE735C"/>
    <w:rsid w:val="00C27C3E"/>
    <w:rsid w:val="00C51160"/>
    <w:rsid w:val="00C744F7"/>
    <w:rsid w:val="00C77A4E"/>
    <w:rsid w:val="00C80FDC"/>
    <w:rsid w:val="00CD4A90"/>
    <w:rsid w:val="00D3182D"/>
    <w:rsid w:val="00D33662"/>
    <w:rsid w:val="00D50CF9"/>
    <w:rsid w:val="00D8100C"/>
    <w:rsid w:val="00DC2109"/>
    <w:rsid w:val="00DD588C"/>
    <w:rsid w:val="00E01756"/>
    <w:rsid w:val="00E1089C"/>
    <w:rsid w:val="00E85984"/>
    <w:rsid w:val="00EC483B"/>
    <w:rsid w:val="00F10214"/>
    <w:rsid w:val="00F2562F"/>
    <w:rsid w:val="00F2641A"/>
    <w:rsid w:val="00F27B21"/>
    <w:rsid w:val="00F30C31"/>
    <w:rsid w:val="00F336A3"/>
    <w:rsid w:val="00F50D1A"/>
    <w:rsid w:val="00F55661"/>
    <w:rsid w:val="00F60685"/>
    <w:rsid w:val="00F61251"/>
    <w:rsid w:val="00FB6736"/>
    <w:rsid w:val="00FC0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08D8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EPMF Normal body text"/>
    <w:qFormat/>
    <w:rsid w:val="00784AA3"/>
    <w:pPr>
      <w:spacing w:after="100" w:line="276" w:lineRule="auto"/>
    </w:pPr>
    <w:rPr>
      <w:rFonts w:ascii="Arial" w:hAnsi="Arial"/>
      <w:sz w:val="20"/>
      <w:szCs w:val="20"/>
      <w:lang w:val="de-DE"/>
    </w:rPr>
  </w:style>
  <w:style w:type="paragraph" w:styleId="Heading1">
    <w:name w:val="heading 1"/>
    <w:basedOn w:val="Normal"/>
    <w:next w:val="Normal"/>
    <w:link w:val="Heading1Char"/>
    <w:uiPriority w:val="9"/>
    <w:qFormat/>
    <w:rsid w:val="00784A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433"/>
    <w:pPr>
      <w:tabs>
        <w:tab w:val="center" w:pos="4680"/>
        <w:tab w:val="right" w:pos="9360"/>
      </w:tabs>
    </w:pPr>
  </w:style>
  <w:style w:type="character" w:customStyle="1" w:styleId="HeaderChar">
    <w:name w:val="Header Char"/>
    <w:basedOn w:val="DefaultParagraphFont"/>
    <w:link w:val="Header"/>
    <w:uiPriority w:val="99"/>
    <w:rsid w:val="009A3433"/>
  </w:style>
  <w:style w:type="paragraph" w:styleId="Footer">
    <w:name w:val="footer"/>
    <w:basedOn w:val="Normal"/>
    <w:link w:val="FooterChar"/>
    <w:uiPriority w:val="99"/>
    <w:unhideWhenUsed/>
    <w:rsid w:val="009A3433"/>
    <w:pPr>
      <w:tabs>
        <w:tab w:val="center" w:pos="4680"/>
        <w:tab w:val="right" w:pos="9360"/>
      </w:tabs>
    </w:pPr>
  </w:style>
  <w:style w:type="character" w:customStyle="1" w:styleId="FooterChar">
    <w:name w:val="Footer Char"/>
    <w:basedOn w:val="DefaultParagraphFont"/>
    <w:link w:val="Footer"/>
    <w:uiPriority w:val="99"/>
    <w:rsid w:val="009A3433"/>
  </w:style>
  <w:style w:type="paragraph" w:customStyle="1" w:styleId="EPMFSubTitleLarge">
    <w:name w:val="EPMF Sub Title Large"/>
    <w:basedOn w:val="Heading1"/>
    <w:qFormat/>
    <w:rsid w:val="00784AA3"/>
    <w:pPr>
      <w:numPr>
        <w:numId w:val="1"/>
      </w:numPr>
      <w:tabs>
        <w:tab w:val="num" w:pos="360"/>
      </w:tabs>
      <w:spacing w:before="400" w:after="160"/>
      <w:ind w:left="73" w:hanging="357"/>
    </w:pPr>
    <w:rPr>
      <w:rFonts w:ascii="Arial" w:hAnsi="Arial"/>
      <w:color w:val="808184"/>
    </w:rPr>
  </w:style>
  <w:style w:type="paragraph" w:customStyle="1" w:styleId="EPMFSubTitleSmall">
    <w:name w:val="EPMF Sub Title Small"/>
    <w:basedOn w:val="ListParagraph"/>
    <w:qFormat/>
    <w:rsid w:val="00784AA3"/>
    <w:pPr>
      <w:numPr>
        <w:numId w:val="3"/>
      </w:numPr>
      <w:tabs>
        <w:tab w:val="num" w:pos="360"/>
      </w:tabs>
      <w:ind w:left="284" w:hanging="284"/>
    </w:pPr>
    <w:rPr>
      <w:color w:val="767171" w:themeColor="background2" w:themeShade="80"/>
      <w:sz w:val="26"/>
      <w:szCs w:val="26"/>
    </w:rPr>
  </w:style>
  <w:style w:type="paragraph" w:customStyle="1" w:styleId="EPMFHEADER">
    <w:name w:val="EPMF HEADER"/>
    <w:basedOn w:val="Normal"/>
    <w:qFormat/>
    <w:rsid w:val="00784AA3"/>
    <w:pPr>
      <w:spacing w:after="0" w:line="216" w:lineRule="auto"/>
      <w:ind w:left="-284"/>
    </w:pPr>
    <w:rPr>
      <w:rFonts w:cs="Arial"/>
      <w:b/>
      <w:bCs/>
      <w:color w:val="FFC000"/>
      <w:sz w:val="52"/>
      <w:szCs w:val="40"/>
      <w:lang w:val="en-US"/>
    </w:rPr>
  </w:style>
  <w:style w:type="paragraph" w:customStyle="1" w:styleId="EPMFSUBHEADS">
    <w:name w:val="EPMF SUB HEADS"/>
    <w:basedOn w:val="Normal"/>
    <w:qFormat/>
    <w:rsid w:val="00784AA3"/>
    <w:pPr>
      <w:spacing w:line="240" w:lineRule="auto"/>
      <w:ind w:left="-284"/>
    </w:pPr>
    <w:rPr>
      <w:rFonts w:cs="Arial"/>
      <w:b/>
      <w:color w:val="595959" w:themeColor="text1" w:themeTint="A6"/>
      <w:lang w:val="en-US"/>
    </w:rPr>
  </w:style>
  <w:style w:type="numbering" w:styleId="111111">
    <w:name w:val="Outline List 2"/>
    <w:basedOn w:val="NoList"/>
    <w:uiPriority w:val="99"/>
    <w:semiHidden/>
    <w:unhideWhenUsed/>
    <w:rsid w:val="00784AA3"/>
    <w:pPr>
      <w:numPr>
        <w:numId w:val="2"/>
      </w:numPr>
    </w:pPr>
  </w:style>
  <w:style w:type="paragraph" w:customStyle="1" w:styleId="EPMFTextNote">
    <w:name w:val="EPMF Text Note"/>
    <w:basedOn w:val="Normal"/>
    <w:qFormat/>
    <w:rsid w:val="00784AA3"/>
    <w:pPr>
      <w:autoSpaceDE w:val="0"/>
      <w:autoSpaceDN w:val="0"/>
      <w:adjustRightInd w:val="0"/>
      <w:jc w:val="both"/>
    </w:pPr>
    <w:rPr>
      <w:rFonts w:cs="Calibri-BoldItalic"/>
      <w:color w:val="FF6E00"/>
      <w:szCs w:val="22"/>
      <w:lang w:val="en-US" w:eastAsia="fr-BE"/>
    </w:rPr>
  </w:style>
  <w:style w:type="table" w:styleId="GridTable3-Accent4">
    <w:name w:val="Grid Table 3 Accent 4"/>
    <w:basedOn w:val="TableNormal"/>
    <w:uiPriority w:val="48"/>
    <w:rsid w:val="00784AA3"/>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customStyle="1" w:styleId="Heading1Char">
    <w:name w:val="Heading 1 Char"/>
    <w:basedOn w:val="DefaultParagraphFont"/>
    <w:link w:val="Heading1"/>
    <w:uiPriority w:val="9"/>
    <w:rsid w:val="00784AA3"/>
    <w:rPr>
      <w:rFonts w:asciiTheme="majorHAnsi" w:eastAsiaTheme="majorEastAsia" w:hAnsiTheme="majorHAnsi" w:cstheme="majorBidi"/>
      <w:color w:val="2E74B5" w:themeColor="accent1" w:themeShade="BF"/>
      <w:sz w:val="32"/>
      <w:szCs w:val="32"/>
      <w:lang w:val="de-DE"/>
    </w:rPr>
  </w:style>
  <w:style w:type="paragraph" w:styleId="ListParagraph">
    <w:name w:val="List Paragraph"/>
    <w:basedOn w:val="Normal"/>
    <w:uiPriority w:val="34"/>
    <w:qFormat/>
    <w:rsid w:val="00784AA3"/>
    <w:pPr>
      <w:ind w:left="720"/>
      <w:contextualSpacing/>
    </w:pPr>
  </w:style>
  <w:style w:type="character" w:styleId="PageNumber">
    <w:name w:val="page number"/>
    <w:basedOn w:val="DefaultParagraphFont"/>
    <w:uiPriority w:val="99"/>
    <w:semiHidden/>
    <w:unhideWhenUsed/>
    <w:rsid w:val="003704E2"/>
  </w:style>
  <w:style w:type="paragraph" w:customStyle="1" w:styleId="CoverPageTitelPMC">
    <w:name w:val="Cover Page Titel PMC"/>
    <w:basedOn w:val="EPMFHEADER"/>
    <w:qFormat/>
    <w:rsid w:val="003704E2"/>
    <w:rPr>
      <w:sz w:val="72"/>
    </w:rPr>
  </w:style>
  <w:style w:type="table" w:styleId="TableGrid">
    <w:name w:val="Table Grid"/>
    <w:aliases w:val="PMC Table"/>
    <w:basedOn w:val="TableNormal"/>
    <w:uiPriority w:val="39"/>
    <w:rsid w:val="00383B56"/>
    <w:pPr>
      <w:spacing w:before="80"/>
    </w:pPr>
    <w:rPr>
      <w:rFonts w:ascii="Arial" w:hAnsi="Arial"/>
      <w:color w:val="595959" w:themeColor="text1" w:themeTint="A6"/>
      <w:sz w:val="20"/>
      <w:szCs w:val="20"/>
    </w:rPr>
    <w:tblP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Pr>
    <w:tblStylePr w:type="firstRow">
      <w:pPr>
        <w:jc w:val="left"/>
      </w:pPr>
      <w:rPr>
        <w:rFonts w:ascii="Arial" w:hAnsi="Arial"/>
        <w:b/>
        <w:sz w:val="20"/>
      </w:rPr>
      <w:tblPr/>
      <w:tcPr>
        <w:shd w:val="clear" w:color="auto" w:fill="FFC000"/>
      </w:tcPr>
    </w:tblStylePr>
  </w:style>
  <w:style w:type="paragraph" w:customStyle="1" w:styleId="EPMFHeadingGreyBox">
    <w:name w:val="EPMF Heading Grey Box"/>
    <w:basedOn w:val="Normal"/>
    <w:qFormat/>
    <w:rsid w:val="000B1556"/>
    <w:pPr>
      <w:pBdr>
        <w:top w:val="single" w:sz="6" w:space="10" w:color="FFFFFF" w:themeColor="background1"/>
        <w:left w:val="single" w:sz="6" w:space="8" w:color="FFFFFF" w:themeColor="background1"/>
        <w:bottom w:val="single" w:sz="6" w:space="8" w:color="FFFFFF" w:themeColor="background1"/>
        <w:right w:val="single" w:sz="6" w:space="8" w:color="FFFFFF" w:themeColor="background1"/>
      </w:pBdr>
      <w:shd w:val="clear" w:color="auto" w:fill="D9D9D9" w:themeFill="background1" w:themeFillShade="D9"/>
      <w:spacing w:after="0" w:line="240" w:lineRule="auto"/>
      <w:ind w:left="-284" w:right="142"/>
    </w:pPr>
    <w:rPr>
      <w:rFonts w:cs="Arial"/>
      <w:i/>
      <w:iCs/>
      <w:lang w:val="en-US"/>
    </w:rPr>
  </w:style>
  <w:style w:type="character" w:styleId="CommentReference">
    <w:name w:val="annotation reference"/>
    <w:basedOn w:val="DefaultParagraphFont"/>
    <w:uiPriority w:val="99"/>
    <w:semiHidden/>
    <w:unhideWhenUsed/>
    <w:rsid w:val="00635040"/>
    <w:rPr>
      <w:sz w:val="16"/>
      <w:szCs w:val="16"/>
    </w:rPr>
  </w:style>
  <w:style w:type="paragraph" w:styleId="CommentText">
    <w:name w:val="annotation text"/>
    <w:basedOn w:val="Normal"/>
    <w:link w:val="CommentTextChar"/>
    <w:uiPriority w:val="99"/>
    <w:semiHidden/>
    <w:unhideWhenUsed/>
    <w:rsid w:val="00635040"/>
    <w:pPr>
      <w:spacing w:line="240" w:lineRule="auto"/>
    </w:pPr>
  </w:style>
  <w:style w:type="character" w:customStyle="1" w:styleId="CommentTextChar">
    <w:name w:val="Comment Text Char"/>
    <w:basedOn w:val="DefaultParagraphFont"/>
    <w:link w:val="CommentText"/>
    <w:uiPriority w:val="99"/>
    <w:semiHidden/>
    <w:rsid w:val="00635040"/>
    <w:rPr>
      <w:rFonts w:ascii="Arial" w:hAnsi="Arial"/>
      <w:sz w:val="20"/>
      <w:szCs w:val="20"/>
      <w:lang w:val="de-DE"/>
    </w:rPr>
  </w:style>
  <w:style w:type="paragraph" w:styleId="CommentSubject">
    <w:name w:val="annotation subject"/>
    <w:basedOn w:val="CommentText"/>
    <w:next w:val="CommentText"/>
    <w:link w:val="CommentSubjectChar"/>
    <w:uiPriority w:val="99"/>
    <w:semiHidden/>
    <w:unhideWhenUsed/>
    <w:rsid w:val="00635040"/>
    <w:rPr>
      <w:b/>
      <w:bCs/>
    </w:rPr>
  </w:style>
  <w:style w:type="character" w:customStyle="1" w:styleId="CommentSubjectChar">
    <w:name w:val="Comment Subject Char"/>
    <w:basedOn w:val="CommentTextChar"/>
    <w:link w:val="CommentSubject"/>
    <w:uiPriority w:val="99"/>
    <w:semiHidden/>
    <w:rsid w:val="00635040"/>
    <w:rPr>
      <w:rFonts w:ascii="Arial" w:hAnsi="Arial"/>
      <w:b/>
      <w:bCs/>
      <w:sz w:val="20"/>
      <w:szCs w:val="20"/>
      <w:lang w:val="de-DE"/>
    </w:rPr>
  </w:style>
  <w:style w:type="paragraph" w:styleId="BalloonText">
    <w:name w:val="Balloon Text"/>
    <w:basedOn w:val="Normal"/>
    <w:link w:val="BalloonTextChar"/>
    <w:uiPriority w:val="99"/>
    <w:semiHidden/>
    <w:unhideWhenUsed/>
    <w:rsid w:val="006350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040"/>
    <w:rPr>
      <w:rFonts w:ascii="Segoe UI" w:hAnsi="Segoe UI" w:cs="Segoe UI"/>
      <w:sz w:val="18"/>
      <w:szCs w:val="18"/>
      <w:lang w:val="de-DE"/>
    </w:rPr>
  </w:style>
  <w:style w:type="paragraph" w:styleId="Revision">
    <w:name w:val="Revision"/>
    <w:hidden/>
    <w:uiPriority w:val="99"/>
    <w:semiHidden/>
    <w:rsid w:val="00F27B21"/>
    <w:rPr>
      <w:rFonts w:ascii="Arial" w:hAnsi="Arial"/>
      <w:sz w:val="20"/>
      <w:szCs w:val="20"/>
      <w:lang w:val="de-DE"/>
    </w:rPr>
  </w:style>
  <w:style w:type="paragraph" w:styleId="FootnoteText">
    <w:name w:val="footnote text"/>
    <w:basedOn w:val="Normal"/>
    <w:link w:val="FootnoteTextChar"/>
    <w:uiPriority w:val="99"/>
    <w:semiHidden/>
    <w:unhideWhenUsed/>
    <w:rsid w:val="001509B2"/>
    <w:pPr>
      <w:spacing w:after="0" w:line="240" w:lineRule="auto"/>
    </w:pPr>
  </w:style>
  <w:style w:type="character" w:customStyle="1" w:styleId="FootnoteTextChar">
    <w:name w:val="Footnote Text Char"/>
    <w:basedOn w:val="DefaultParagraphFont"/>
    <w:link w:val="FootnoteText"/>
    <w:uiPriority w:val="99"/>
    <w:semiHidden/>
    <w:rsid w:val="001509B2"/>
    <w:rPr>
      <w:rFonts w:ascii="Arial" w:hAnsi="Arial"/>
      <w:sz w:val="20"/>
      <w:szCs w:val="20"/>
      <w:lang w:val="de-DE"/>
    </w:rPr>
  </w:style>
  <w:style w:type="character" w:styleId="FootnoteReference">
    <w:name w:val="footnote reference"/>
    <w:basedOn w:val="DefaultParagraphFont"/>
    <w:uiPriority w:val="99"/>
    <w:semiHidden/>
    <w:unhideWhenUsed/>
    <w:rsid w:val="001509B2"/>
    <w:rPr>
      <w:vertAlign w:val="superscript"/>
    </w:rPr>
  </w:style>
  <w:style w:type="character" w:styleId="Hyperlink">
    <w:name w:val="Hyperlink"/>
    <w:basedOn w:val="DefaultParagraphFont"/>
    <w:uiPriority w:val="99"/>
    <w:unhideWhenUsed/>
    <w:rsid w:val="004720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85361">
      <w:bodyDiv w:val="1"/>
      <w:marLeft w:val="0"/>
      <w:marRight w:val="0"/>
      <w:marTop w:val="0"/>
      <w:marBottom w:val="0"/>
      <w:divBdr>
        <w:top w:val="none" w:sz="0" w:space="0" w:color="auto"/>
        <w:left w:val="none" w:sz="0" w:space="0" w:color="auto"/>
        <w:bottom w:val="none" w:sz="0" w:space="0" w:color="auto"/>
        <w:right w:val="none" w:sz="0" w:space="0" w:color="auto"/>
      </w:divBdr>
    </w:div>
    <w:div w:id="134758925">
      <w:bodyDiv w:val="1"/>
      <w:marLeft w:val="0"/>
      <w:marRight w:val="0"/>
      <w:marTop w:val="0"/>
      <w:marBottom w:val="0"/>
      <w:divBdr>
        <w:top w:val="none" w:sz="0" w:space="0" w:color="auto"/>
        <w:left w:val="none" w:sz="0" w:space="0" w:color="auto"/>
        <w:bottom w:val="none" w:sz="0" w:space="0" w:color="auto"/>
        <w:right w:val="none" w:sz="0" w:space="0" w:color="auto"/>
      </w:divBdr>
      <w:divsChild>
        <w:div w:id="1087388871">
          <w:marLeft w:val="0"/>
          <w:marRight w:val="0"/>
          <w:marTop w:val="0"/>
          <w:marBottom w:val="0"/>
          <w:divBdr>
            <w:top w:val="none" w:sz="0" w:space="0" w:color="auto"/>
            <w:left w:val="none" w:sz="0" w:space="0" w:color="auto"/>
            <w:bottom w:val="none" w:sz="0" w:space="0" w:color="auto"/>
            <w:right w:val="none" w:sz="0" w:space="0" w:color="auto"/>
          </w:divBdr>
        </w:div>
        <w:div w:id="1159081736">
          <w:marLeft w:val="0"/>
          <w:marRight w:val="0"/>
          <w:marTop w:val="0"/>
          <w:marBottom w:val="0"/>
          <w:divBdr>
            <w:top w:val="none" w:sz="0" w:space="0" w:color="auto"/>
            <w:left w:val="none" w:sz="0" w:space="0" w:color="auto"/>
            <w:bottom w:val="none" w:sz="0" w:space="0" w:color="auto"/>
            <w:right w:val="none" w:sz="0" w:space="0" w:color="auto"/>
          </w:divBdr>
        </w:div>
        <w:div w:id="1254633519">
          <w:marLeft w:val="0"/>
          <w:marRight w:val="0"/>
          <w:marTop w:val="0"/>
          <w:marBottom w:val="0"/>
          <w:divBdr>
            <w:top w:val="none" w:sz="0" w:space="0" w:color="auto"/>
            <w:left w:val="none" w:sz="0" w:space="0" w:color="auto"/>
            <w:bottom w:val="none" w:sz="0" w:space="0" w:color="auto"/>
            <w:right w:val="none" w:sz="0" w:space="0" w:color="auto"/>
          </w:divBdr>
        </w:div>
        <w:div w:id="263341156">
          <w:marLeft w:val="0"/>
          <w:marRight w:val="0"/>
          <w:marTop w:val="0"/>
          <w:marBottom w:val="0"/>
          <w:divBdr>
            <w:top w:val="none" w:sz="0" w:space="0" w:color="auto"/>
            <w:left w:val="none" w:sz="0" w:space="0" w:color="auto"/>
            <w:bottom w:val="none" w:sz="0" w:space="0" w:color="auto"/>
            <w:right w:val="none" w:sz="0" w:space="0" w:color="auto"/>
          </w:divBdr>
        </w:div>
        <w:div w:id="1451778951">
          <w:marLeft w:val="0"/>
          <w:marRight w:val="0"/>
          <w:marTop w:val="0"/>
          <w:marBottom w:val="0"/>
          <w:divBdr>
            <w:top w:val="none" w:sz="0" w:space="0" w:color="auto"/>
            <w:left w:val="none" w:sz="0" w:space="0" w:color="auto"/>
            <w:bottom w:val="none" w:sz="0" w:space="0" w:color="auto"/>
            <w:right w:val="none" w:sz="0" w:space="0" w:color="auto"/>
          </w:divBdr>
        </w:div>
        <w:div w:id="1244140482">
          <w:marLeft w:val="0"/>
          <w:marRight w:val="0"/>
          <w:marTop w:val="0"/>
          <w:marBottom w:val="0"/>
          <w:divBdr>
            <w:top w:val="none" w:sz="0" w:space="0" w:color="auto"/>
            <w:left w:val="none" w:sz="0" w:space="0" w:color="auto"/>
            <w:bottom w:val="none" w:sz="0" w:space="0" w:color="auto"/>
            <w:right w:val="none" w:sz="0" w:space="0" w:color="auto"/>
          </w:divBdr>
        </w:div>
        <w:div w:id="407851111">
          <w:marLeft w:val="0"/>
          <w:marRight w:val="0"/>
          <w:marTop w:val="0"/>
          <w:marBottom w:val="0"/>
          <w:divBdr>
            <w:top w:val="none" w:sz="0" w:space="0" w:color="auto"/>
            <w:left w:val="none" w:sz="0" w:space="0" w:color="auto"/>
            <w:bottom w:val="none" w:sz="0" w:space="0" w:color="auto"/>
            <w:right w:val="none" w:sz="0" w:space="0" w:color="auto"/>
          </w:divBdr>
        </w:div>
        <w:div w:id="756438324">
          <w:marLeft w:val="0"/>
          <w:marRight w:val="0"/>
          <w:marTop w:val="0"/>
          <w:marBottom w:val="0"/>
          <w:divBdr>
            <w:top w:val="none" w:sz="0" w:space="0" w:color="auto"/>
            <w:left w:val="none" w:sz="0" w:space="0" w:color="auto"/>
            <w:bottom w:val="none" w:sz="0" w:space="0" w:color="auto"/>
            <w:right w:val="none" w:sz="0" w:space="0" w:color="auto"/>
          </w:divBdr>
        </w:div>
        <w:div w:id="992099428">
          <w:marLeft w:val="0"/>
          <w:marRight w:val="0"/>
          <w:marTop w:val="0"/>
          <w:marBottom w:val="0"/>
          <w:divBdr>
            <w:top w:val="none" w:sz="0" w:space="0" w:color="auto"/>
            <w:left w:val="none" w:sz="0" w:space="0" w:color="auto"/>
            <w:bottom w:val="none" w:sz="0" w:space="0" w:color="auto"/>
            <w:right w:val="none" w:sz="0" w:space="0" w:color="auto"/>
          </w:divBdr>
        </w:div>
        <w:div w:id="1668827535">
          <w:marLeft w:val="0"/>
          <w:marRight w:val="0"/>
          <w:marTop w:val="0"/>
          <w:marBottom w:val="0"/>
          <w:divBdr>
            <w:top w:val="none" w:sz="0" w:space="0" w:color="auto"/>
            <w:left w:val="none" w:sz="0" w:space="0" w:color="auto"/>
            <w:bottom w:val="none" w:sz="0" w:space="0" w:color="auto"/>
            <w:right w:val="none" w:sz="0" w:space="0" w:color="auto"/>
          </w:divBdr>
        </w:div>
      </w:divsChild>
    </w:div>
    <w:div w:id="277951619">
      <w:bodyDiv w:val="1"/>
      <w:marLeft w:val="0"/>
      <w:marRight w:val="0"/>
      <w:marTop w:val="0"/>
      <w:marBottom w:val="0"/>
      <w:divBdr>
        <w:top w:val="none" w:sz="0" w:space="0" w:color="auto"/>
        <w:left w:val="none" w:sz="0" w:space="0" w:color="auto"/>
        <w:bottom w:val="none" w:sz="0" w:space="0" w:color="auto"/>
        <w:right w:val="none" w:sz="0" w:space="0" w:color="auto"/>
      </w:divBdr>
      <w:divsChild>
        <w:div w:id="409427519">
          <w:marLeft w:val="360"/>
          <w:marRight w:val="0"/>
          <w:marTop w:val="320"/>
          <w:marBottom w:val="0"/>
          <w:divBdr>
            <w:top w:val="none" w:sz="0" w:space="0" w:color="auto"/>
            <w:left w:val="none" w:sz="0" w:space="0" w:color="auto"/>
            <w:bottom w:val="none" w:sz="0" w:space="0" w:color="auto"/>
            <w:right w:val="none" w:sz="0" w:space="0" w:color="auto"/>
          </w:divBdr>
        </w:div>
        <w:div w:id="1053969646">
          <w:marLeft w:val="1080"/>
          <w:marRight w:val="0"/>
          <w:marTop w:val="320"/>
          <w:marBottom w:val="0"/>
          <w:divBdr>
            <w:top w:val="none" w:sz="0" w:space="0" w:color="auto"/>
            <w:left w:val="none" w:sz="0" w:space="0" w:color="auto"/>
            <w:bottom w:val="none" w:sz="0" w:space="0" w:color="auto"/>
            <w:right w:val="none" w:sz="0" w:space="0" w:color="auto"/>
          </w:divBdr>
        </w:div>
        <w:div w:id="64112753">
          <w:marLeft w:val="1080"/>
          <w:marRight w:val="0"/>
          <w:marTop w:val="320"/>
          <w:marBottom w:val="0"/>
          <w:divBdr>
            <w:top w:val="none" w:sz="0" w:space="0" w:color="auto"/>
            <w:left w:val="none" w:sz="0" w:space="0" w:color="auto"/>
            <w:bottom w:val="none" w:sz="0" w:space="0" w:color="auto"/>
            <w:right w:val="none" w:sz="0" w:space="0" w:color="auto"/>
          </w:divBdr>
        </w:div>
        <w:div w:id="1839224825">
          <w:marLeft w:val="1080"/>
          <w:marRight w:val="0"/>
          <w:marTop w:val="320"/>
          <w:marBottom w:val="0"/>
          <w:divBdr>
            <w:top w:val="none" w:sz="0" w:space="0" w:color="auto"/>
            <w:left w:val="none" w:sz="0" w:space="0" w:color="auto"/>
            <w:bottom w:val="none" w:sz="0" w:space="0" w:color="auto"/>
            <w:right w:val="none" w:sz="0" w:space="0" w:color="auto"/>
          </w:divBdr>
        </w:div>
      </w:divsChild>
    </w:div>
    <w:div w:id="442186296">
      <w:bodyDiv w:val="1"/>
      <w:marLeft w:val="0"/>
      <w:marRight w:val="0"/>
      <w:marTop w:val="0"/>
      <w:marBottom w:val="0"/>
      <w:divBdr>
        <w:top w:val="none" w:sz="0" w:space="0" w:color="auto"/>
        <w:left w:val="none" w:sz="0" w:space="0" w:color="auto"/>
        <w:bottom w:val="none" w:sz="0" w:space="0" w:color="auto"/>
        <w:right w:val="none" w:sz="0" w:space="0" w:color="auto"/>
      </w:divBdr>
    </w:div>
    <w:div w:id="817500729">
      <w:bodyDiv w:val="1"/>
      <w:marLeft w:val="0"/>
      <w:marRight w:val="0"/>
      <w:marTop w:val="0"/>
      <w:marBottom w:val="0"/>
      <w:divBdr>
        <w:top w:val="none" w:sz="0" w:space="0" w:color="auto"/>
        <w:left w:val="none" w:sz="0" w:space="0" w:color="auto"/>
        <w:bottom w:val="none" w:sz="0" w:space="0" w:color="auto"/>
        <w:right w:val="none" w:sz="0" w:space="0" w:color="auto"/>
      </w:divBdr>
    </w:div>
    <w:div w:id="1371761356">
      <w:bodyDiv w:val="1"/>
      <w:marLeft w:val="0"/>
      <w:marRight w:val="0"/>
      <w:marTop w:val="0"/>
      <w:marBottom w:val="0"/>
      <w:divBdr>
        <w:top w:val="none" w:sz="0" w:space="0" w:color="auto"/>
        <w:left w:val="none" w:sz="0" w:space="0" w:color="auto"/>
        <w:bottom w:val="none" w:sz="0" w:space="0" w:color="auto"/>
        <w:right w:val="none" w:sz="0" w:space="0" w:color="auto"/>
      </w:divBdr>
    </w:div>
    <w:div w:id="1587685940">
      <w:bodyDiv w:val="1"/>
      <w:marLeft w:val="0"/>
      <w:marRight w:val="0"/>
      <w:marTop w:val="0"/>
      <w:marBottom w:val="0"/>
      <w:divBdr>
        <w:top w:val="none" w:sz="0" w:space="0" w:color="auto"/>
        <w:left w:val="none" w:sz="0" w:space="0" w:color="auto"/>
        <w:bottom w:val="none" w:sz="0" w:space="0" w:color="auto"/>
        <w:right w:val="none" w:sz="0" w:space="0" w:color="auto"/>
      </w:divBdr>
    </w:div>
    <w:div w:id="21429932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5EB0B8C-2FF2-4B6B-BBBD-459B2081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1286</Words>
  <Characters>7333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Stephenson</dc:creator>
  <cp:keywords/>
  <dc:description/>
  <cp:lastModifiedBy>france.capon.epmf@outlook.com</cp:lastModifiedBy>
  <cp:revision>3</cp:revision>
  <dcterms:created xsi:type="dcterms:W3CDTF">2019-03-19T10:55:00Z</dcterms:created>
  <dcterms:modified xsi:type="dcterms:W3CDTF">2019-03-19T10:56:00Z</dcterms:modified>
</cp:coreProperties>
</file>